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778A8">
      <w:pPr>
        <w:snapToGrid w:val="0"/>
        <w:spacing w:line="480" w:lineRule="auto"/>
        <w:jc w:val="left"/>
        <w:rPr>
          <w:rFonts w:hint="default" w:ascii="Times New Roman" w:hAnsi="Times New Roman" w:eastAsia="仿宋_GB2312" w:cs="Times New Roman"/>
          <w:color w:val="333333"/>
          <w:sz w:val="32"/>
          <w:szCs w:val="32"/>
          <w:highlight w:val="none"/>
          <w:lang w:bidi="ar"/>
        </w:rPr>
      </w:pPr>
    </w:p>
    <w:p w14:paraId="4B79FA33">
      <w:pPr>
        <w:spacing w:line="540" w:lineRule="exact"/>
        <w:jc w:val="center"/>
        <w:rPr>
          <w:rFonts w:hint="default" w:ascii="Times New Roman" w:hAnsi="Times New Roman" w:eastAsia="仿宋_GB2312" w:cs="Times New Roman"/>
          <w:b/>
          <w:kern w:val="0"/>
          <w:sz w:val="32"/>
          <w:szCs w:val="32"/>
          <w:highlight w:val="none"/>
        </w:rPr>
      </w:pPr>
    </w:p>
    <w:p w14:paraId="299A3253">
      <w:pPr>
        <w:spacing w:line="540" w:lineRule="exact"/>
        <w:jc w:val="center"/>
        <w:rPr>
          <w:rFonts w:hint="default" w:ascii="Times New Roman" w:hAnsi="Times New Roman" w:eastAsia="仿宋_GB2312" w:cs="Times New Roman"/>
          <w:b/>
          <w:kern w:val="0"/>
          <w:sz w:val="32"/>
          <w:szCs w:val="32"/>
          <w:highlight w:val="none"/>
        </w:rPr>
      </w:pPr>
    </w:p>
    <w:p w14:paraId="6C7B2CF4">
      <w:pPr>
        <w:spacing w:line="540" w:lineRule="exact"/>
        <w:jc w:val="center"/>
        <w:rPr>
          <w:rFonts w:hint="default" w:ascii="Times New Roman" w:hAnsi="Times New Roman" w:eastAsia="仿宋_GB2312" w:cs="Times New Roman"/>
          <w:b/>
          <w:kern w:val="0"/>
          <w:sz w:val="32"/>
          <w:szCs w:val="32"/>
          <w:highlight w:val="none"/>
        </w:rPr>
      </w:pPr>
      <w:bookmarkStart w:id="6" w:name="_GoBack"/>
      <w:bookmarkEnd w:id="6"/>
    </w:p>
    <w:p w14:paraId="57127BFB">
      <w:pPr>
        <w:spacing w:line="540" w:lineRule="exact"/>
        <w:rPr>
          <w:rFonts w:hint="default" w:ascii="Times New Roman" w:hAnsi="Times New Roman" w:eastAsia="仿宋_GB2312" w:cs="Times New Roman"/>
          <w:b/>
          <w:kern w:val="0"/>
          <w:sz w:val="32"/>
          <w:szCs w:val="32"/>
          <w:highlight w:val="none"/>
        </w:rPr>
      </w:pPr>
    </w:p>
    <w:p w14:paraId="1C1E0EC8">
      <w:pPr>
        <w:spacing w:line="360" w:lineRule="auto"/>
        <w:ind w:left="0" w:leftChars="0" w:firstLine="0" w:firstLineChars="0"/>
        <w:jc w:val="center"/>
        <w:outlineLvl w:val="0"/>
        <w:rPr>
          <w:rFonts w:hint="default" w:ascii="Times New Roman" w:hAnsi="Times New Roman" w:eastAsia="黑体" w:cs="Times New Roman"/>
          <w:b/>
          <w:kern w:val="0"/>
          <w:sz w:val="52"/>
          <w:szCs w:val="52"/>
          <w:highlight w:val="none"/>
        </w:rPr>
      </w:pPr>
      <w:r>
        <w:rPr>
          <w:rFonts w:hint="default" w:ascii="Times New Roman" w:hAnsi="Times New Roman" w:eastAsia="黑体" w:cs="Times New Roman"/>
          <w:b/>
          <w:kern w:val="0"/>
          <w:sz w:val="52"/>
          <w:szCs w:val="52"/>
          <w:highlight w:val="none"/>
        </w:rPr>
        <w:t>部门单位整体支出绩效</w:t>
      </w:r>
    </w:p>
    <w:p w14:paraId="01BADDC4">
      <w:pPr>
        <w:spacing w:line="360" w:lineRule="auto"/>
        <w:ind w:left="0" w:leftChars="0" w:firstLine="0" w:firstLineChars="0"/>
        <w:jc w:val="center"/>
        <w:outlineLvl w:val="0"/>
        <w:rPr>
          <w:rFonts w:hint="default" w:ascii="Times New Roman" w:hAnsi="Times New Roman" w:eastAsia="黑体" w:cs="Times New Roman"/>
          <w:b/>
          <w:kern w:val="0"/>
          <w:sz w:val="52"/>
          <w:szCs w:val="52"/>
          <w:highlight w:val="none"/>
        </w:rPr>
      </w:pPr>
      <w:r>
        <w:rPr>
          <w:rFonts w:hint="default" w:ascii="Times New Roman" w:hAnsi="Times New Roman" w:eastAsia="黑体" w:cs="Times New Roman"/>
          <w:b/>
          <w:kern w:val="0"/>
          <w:sz w:val="52"/>
          <w:szCs w:val="52"/>
          <w:highlight w:val="none"/>
        </w:rPr>
        <w:t>自评报告</w:t>
      </w:r>
    </w:p>
    <w:p w14:paraId="79DB595A">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eastAsia="zh-CN"/>
        </w:rPr>
        <w:t>202</w:t>
      </w:r>
      <w:r>
        <w:rPr>
          <w:rFonts w:hint="default" w:ascii="Times New Roman" w:hAnsi="Times New Roman" w:cs="Times New Roman"/>
          <w:lang w:val="en-US" w:eastAsia="zh-CN"/>
        </w:rPr>
        <w:t>4</w:t>
      </w:r>
      <w:r>
        <w:rPr>
          <w:rFonts w:hint="default" w:ascii="Times New Roman" w:hAnsi="Times New Roman" w:cs="Times New Roman"/>
        </w:rPr>
        <w:t>年度）</w:t>
      </w:r>
    </w:p>
    <w:p w14:paraId="4A49A107">
      <w:pPr>
        <w:spacing w:line="540" w:lineRule="exact"/>
        <w:jc w:val="center"/>
        <w:rPr>
          <w:rFonts w:hint="default" w:ascii="Times New Roman" w:hAnsi="Times New Roman" w:eastAsia="仿宋_GB2312" w:cs="Times New Roman"/>
          <w:kern w:val="0"/>
          <w:sz w:val="32"/>
          <w:szCs w:val="32"/>
          <w:highlight w:val="none"/>
        </w:rPr>
      </w:pPr>
    </w:p>
    <w:p w14:paraId="3CFD4A91">
      <w:pPr>
        <w:spacing w:line="540" w:lineRule="exact"/>
        <w:jc w:val="center"/>
        <w:rPr>
          <w:rFonts w:hint="default" w:ascii="Times New Roman" w:hAnsi="Times New Roman" w:eastAsia="仿宋_GB2312" w:cs="Times New Roman"/>
          <w:kern w:val="0"/>
          <w:sz w:val="32"/>
          <w:szCs w:val="32"/>
          <w:highlight w:val="none"/>
        </w:rPr>
      </w:pPr>
    </w:p>
    <w:p w14:paraId="2B59AF40">
      <w:pPr>
        <w:spacing w:line="540" w:lineRule="exact"/>
        <w:jc w:val="center"/>
        <w:rPr>
          <w:rFonts w:hint="default" w:ascii="Times New Roman" w:hAnsi="Times New Roman" w:eastAsia="仿宋_GB2312" w:cs="Times New Roman"/>
          <w:kern w:val="0"/>
          <w:sz w:val="32"/>
          <w:szCs w:val="32"/>
          <w:highlight w:val="none"/>
        </w:rPr>
      </w:pPr>
    </w:p>
    <w:p w14:paraId="72FAE5F8">
      <w:pPr>
        <w:spacing w:line="540" w:lineRule="exact"/>
        <w:jc w:val="center"/>
        <w:rPr>
          <w:rFonts w:hint="default" w:ascii="Times New Roman" w:hAnsi="Times New Roman" w:eastAsia="仿宋_GB2312" w:cs="Times New Roman"/>
          <w:kern w:val="0"/>
          <w:sz w:val="32"/>
          <w:szCs w:val="32"/>
          <w:highlight w:val="none"/>
        </w:rPr>
      </w:pPr>
    </w:p>
    <w:p w14:paraId="58D946FC">
      <w:pPr>
        <w:spacing w:line="540" w:lineRule="exact"/>
        <w:jc w:val="center"/>
        <w:rPr>
          <w:rFonts w:hint="default" w:ascii="Times New Roman" w:hAnsi="Times New Roman" w:eastAsia="仿宋_GB2312" w:cs="Times New Roman"/>
          <w:kern w:val="0"/>
          <w:sz w:val="32"/>
          <w:szCs w:val="32"/>
          <w:highlight w:val="none"/>
        </w:rPr>
      </w:pPr>
    </w:p>
    <w:p w14:paraId="3843D4BD">
      <w:pPr>
        <w:spacing w:line="540" w:lineRule="exact"/>
        <w:jc w:val="center"/>
        <w:rPr>
          <w:rFonts w:hint="default" w:ascii="Times New Roman" w:hAnsi="Times New Roman" w:eastAsia="仿宋_GB2312" w:cs="Times New Roman"/>
          <w:kern w:val="0"/>
          <w:sz w:val="32"/>
          <w:szCs w:val="32"/>
          <w:highlight w:val="none"/>
        </w:rPr>
      </w:pPr>
    </w:p>
    <w:p w14:paraId="64C341BD">
      <w:pPr>
        <w:spacing w:line="540" w:lineRule="exact"/>
        <w:rPr>
          <w:rFonts w:hint="default" w:ascii="Times New Roman" w:hAnsi="Times New Roman" w:eastAsia="仿宋_GB2312" w:cs="Times New Roman"/>
          <w:kern w:val="0"/>
          <w:sz w:val="32"/>
          <w:szCs w:val="32"/>
          <w:highlight w:val="none"/>
        </w:rPr>
      </w:pPr>
    </w:p>
    <w:p w14:paraId="5D5DF0CE">
      <w:pPr>
        <w:bidi w:val="0"/>
        <w:rPr>
          <w:rFonts w:hint="default" w:ascii="Times New Roman" w:hAnsi="Times New Roman" w:cs="Times New Roman"/>
        </w:rPr>
      </w:pPr>
    </w:p>
    <w:p w14:paraId="60DB1928">
      <w:pPr>
        <w:rPr>
          <w:rFonts w:hint="default" w:ascii="Times New Roman" w:hAnsi="Times New Roman" w:cs="Times New Roman"/>
        </w:rPr>
      </w:pPr>
    </w:p>
    <w:p w14:paraId="6F41CC75">
      <w:pPr>
        <w:spacing w:line="700" w:lineRule="exact"/>
        <w:jc w:val="left"/>
        <w:rPr>
          <w:rFonts w:hint="eastAsia" w:ascii="Times New Roman" w:hAnsi="Times New Roman" w:eastAsia="仿宋_GB2312" w:cs="Times New Roman"/>
          <w:kern w:val="0"/>
          <w:sz w:val="32"/>
          <w:szCs w:val="32"/>
          <w:highlight w:val="none"/>
          <w:lang w:eastAsia="zh-CN"/>
        </w:rPr>
      </w:pPr>
    </w:p>
    <w:p w14:paraId="6E453C00">
      <w:pPr>
        <w:spacing w:line="700" w:lineRule="exact"/>
        <w:ind w:left="4160" w:leftChars="200" w:hanging="3520" w:hangingChars="1100"/>
        <w:jc w:val="left"/>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部门单位名称（公章）：</w:t>
      </w:r>
      <w:r>
        <w:rPr>
          <w:rFonts w:hint="default" w:ascii="Times New Roman" w:hAnsi="Times New Roman" w:eastAsia="仿宋_GB2312" w:cs="Times New Roman"/>
          <w:kern w:val="0"/>
          <w:sz w:val="32"/>
          <w:szCs w:val="32"/>
          <w:highlight w:val="none"/>
          <w:lang w:val="en-US" w:eastAsia="zh-CN"/>
        </w:rPr>
        <w:t>新疆维吾尔自治区阿克苏职业技术学院</w:t>
      </w:r>
    </w:p>
    <w:p w14:paraId="5A325E55">
      <w:pPr>
        <w:spacing w:line="700" w:lineRule="exact"/>
        <w:ind w:firstLine="640" w:firstLineChars="200"/>
        <w:jc w:val="left"/>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填报时间：</w:t>
      </w:r>
      <w:r>
        <w:rPr>
          <w:rFonts w:hint="default" w:ascii="Times New Roman" w:hAnsi="Times New Roman"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default"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kern w:val="0"/>
          <w:sz w:val="32"/>
          <w:szCs w:val="32"/>
          <w:highlight w:val="none"/>
        </w:rPr>
        <w:t>月</w:t>
      </w:r>
      <w:r>
        <w:rPr>
          <w:rFonts w:hint="default" w:ascii="Times New Roman" w:hAnsi="Times New Roman" w:eastAsia="仿宋_GB2312" w:cs="Times New Roman"/>
          <w:kern w:val="0"/>
          <w:sz w:val="32"/>
          <w:szCs w:val="32"/>
          <w:highlight w:val="none"/>
          <w:lang w:val="en-US" w:eastAsia="zh-CN"/>
        </w:rPr>
        <w:t>8</w:t>
      </w:r>
      <w:r>
        <w:rPr>
          <w:rFonts w:hint="default" w:ascii="Times New Roman" w:hAnsi="Times New Roman" w:eastAsia="仿宋_GB2312" w:cs="Times New Roman"/>
          <w:kern w:val="0"/>
          <w:sz w:val="32"/>
          <w:szCs w:val="32"/>
          <w:highlight w:val="none"/>
        </w:rPr>
        <w:t>日</w:t>
      </w:r>
    </w:p>
    <w:p w14:paraId="5DF9CC48">
      <w:pPr>
        <w:bidi w:val="0"/>
        <w:rPr>
          <w:rFonts w:hint="default" w:ascii="Times New Roman" w:hAnsi="Times New Roman" w:cs="Times New Roman"/>
          <w:lang w:val="en-US" w:eastAsia="zh-CN"/>
        </w:rPr>
      </w:pPr>
      <w:bookmarkStart w:id="0" w:name="_Toc23945_WPSOffice_Level1"/>
    </w:p>
    <w:p w14:paraId="7B235DD6">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default" w:ascii="Times New Roman" w:hAnsi="Times New Roman" w:eastAsia="黑体" w:cs="Times New Roman"/>
          <w:sz w:val="44"/>
          <w:szCs w:val="44"/>
          <w:lang w:val="en-US" w:eastAsia="zh-CN"/>
        </w:rPr>
        <w:sectPr>
          <w:footerReference r:id="rId5" w:type="default"/>
          <w:pgSz w:w="11906" w:h="16838"/>
          <w:pgMar w:top="1440" w:right="1800" w:bottom="1440" w:left="1800" w:header="851" w:footer="992" w:gutter="0"/>
          <w:pgNumType w:fmt="numberInDash" w:start="1"/>
          <w:cols w:space="720" w:num="1"/>
          <w:docGrid w:type="lines" w:linePitch="312" w:charSpace="0"/>
        </w:sectPr>
      </w:pPr>
    </w:p>
    <w:p w14:paraId="6588976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部门单位整体支出绩效自评报告</w:t>
      </w:r>
    </w:p>
    <w:p w14:paraId="201DD67E">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r>
        <w:rPr>
          <w:rFonts w:hint="default" w:ascii="Times New Roman" w:hAnsi="Times New Roman" w:cs="Times New Roman"/>
          <w:lang w:val="en-US" w:eastAsia="zh-CN"/>
        </w:rPr>
        <w:t>一、</w:t>
      </w:r>
      <w:r>
        <w:rPr>
          <w:rFonts w:hint="default" w:ascii="Times New Roman" w:hAnsi="Times New Roman" w:cs="Times New Roman"/>
        </w:rPr>
        <w:t>基本概况</w:t>
      </w:r>
      <w:bookmarkEnd w:id="0"/>
    </w:p>
    <w:p w14:paraId="35D2EA75">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rPr>
        <w:t>（一）</w:t>
      </w:r>
      <w:r>
        <w:rPr>
          <w:rFonts w:hint="default" w:ascii="Times New Roman" w:hAnsi="Times New Roman" w:cs="Times New Roman"/>
          <w:lang w:val="en-US" w:eastAsia="zh-CN"/>
        </w:rPr>
        <w:t>部门</w:t>
      </w:r>
      <w:r>
        <w:rPr>
          <w:rFonts w:hint="default" w:ascii="Times New Roman" w:hAnsi="Times New Roman" w:cs="Times New Roman"/>
        </w:rPr>
        <w:t>单位基本情况</w:t>
      </w:r>
    </w:p>
    <w:p w14:paraId="23D445B0">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1.部门主要职能</w:t>
      </w:r>
    </w:p>
    <w:p w14:paraId="53640779">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lang w:val="en-US" w:eastAsia="zh-CN"/>
        </w:rPr>
        <w:t>新疆维吾尔自治区阿克苏职业技术学院</w:t>
      </w:r>
      <w:r>
        <w:rPr>
          <w:rFonts w:hint="default" w:ascii="Times New Roman" w:hAnsi="Times New Roman" w:cs="Times New Roman"/>
        </w:rPr>
        <w:t>贯彻国家教育方针，执行国家教育教学标准，依据《中华人民共和国教育法》和《中华人民共和国职业教育法》开展职业中等专业学历教育和相关职业培训，提高教育教学质量和办学效益，培养以全面素质为基础、以能力为本位的高素质劳动者和中、初级专门人才。</w:t>
      </w:r>
    </w:p>
    <w:p w14:paraId="3768C2BC">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2.部门机构设置及人员构成</w:t>
      </w:r>
    </w:p>
    <w:p w14:paraId="14190F44">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新疆维吾尔自治区阿克苏职业技术学院无下属预算单位，下设22个科室，分别是：办公室、组织部（人事处）、宣传部（统战部）、学生工作部（学生处）、教务处、总务处、招生就业指导处、产学合作处、科研处、保卫处、医学院、经济管理学院、机电工程学院、生物工程学院、信息工程学院、人文艺术学院、纺织工程学院、公共基础学院、马克思主义学院、本科教学部、继续教育中心、图书馆。</w:t>
      </w:r>
    </w:p>
    <w:p w14:paraId="59A96F9C">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lang w:val="en-US" w:eastAsia="zh-CN"/>
        </w:rPr>
      </w:pPr>
      <w:r>
        <w:rPr>
          <w:rFonts w:hint="default" w:ascii="Times New Roman" w:hAnsi="Times New Roman" w:cs="Times New Roman"/>
        </w:rPr>
        <w:t>新疆维吾尔自治区阿克苏职业技术学院</w:t>
      </w:r>
      <w:r>
        <w:rPr>
          <w:rFonts w:hint="default" w:ascii="Times New Roman" w:hAnsi="Times New Roman" w:cs="Times New Roman"/>
          <w:lang w:val="en-US" w:eastAsia="zh-CN"/>
        </w:rPr>
        <w:t>人员编制总数575</w:t>
      </w:r>
      <w:r>
        <w:rPr>
          <w:rFonts w:hint="eastAsia" w:ascii="Times New Roman" w:hAnsi="Times New Roman" w:cs="Times New Roman"/>
          <w:lang w:val="en-US" w:eastAsia="zh-CN"/>
        </w:rPr>
        <w:t>名</w:t>
      </w:r>
      <w:r>
        <w:rPr>
          <w:rFonts w:hint="default" w:ascii="Times New Roman" w:hAnsi="Times New Roman" w:cs="Times New Roman"/>
          <w:lang w:val="en-US" w:eastAsia="zh-CN"/>
        </w:rPr>
        <w:t>，实有人员888</w:t>
      </w:r>
      <w:r>
        <w:rPr>
          <w:rFonts w:hint="eastAsia" w:ascii="Times New Roman" w:hAnsi="Times New Roman" w:cs="Times New Roman"/>
          <w:lang w:val="en-US" w:eastAsia="zh-CN"/>
        </w:rPr>
        <w:t>名，</w:t>
      </w:r>
      <w:r>
        <w:rPr>
          <w:rFonts w:hint="default" w:ascii="Times New Roman" w:hAnsi="Times New Roman" w:cs="Times New Roman"/>
          <w:lang w:val="en-US" w:eastAsia="zh-CN"/>
        </w:rPr>
        <w:t>其中：在职552名，退休334名，离休2名。</w:t>
      </w:r>
    </w:p>
    <w:p w14:paraId="659807D3">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outlineLvl w:val="1"/>
        <w:rPr>
          <w:rFonts w:hint="default" w:ascii="Times New Roman" w:hAnsi="Times New Roman" w:cs="Times New Roman"/>
          <w:lang w:val="en-US" w:eastAsia="zh-CN"/>
        </w:rPr>
      </w:pPr>
      <w:r>
        <w:rPr>
          <w:rFonts w:hint="default" w:ascii="Times New Roman" w:hAnsi="Times New Roman" w:cs="Times New Roman"/>
          <w:lang w:val="en-US" w:eastAsia="zh-CN"/>
        </w:rPr>
        <w:t>（二）部门单位年度重点工作</w:t>
      </w:r>
    </w:p>
    <w:p w14:paraId="74F06F51">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rPr>
        <w:t>本单位根据单位职能、单位中长期工作规划和年度工作计划等资料，梳理各个工作任务及要求。通过资料收集与分析，在本单位202</w:t>
      </w:r>
      <w:r>
        <w:rPr>
          <w:rFonts w:hint="default" w:ascii="Times New Roman" w:hAnsi="Times New Roman" w:cs="Times New Roman"/>
          <w:lang w:val="en-US" w:eastAsia="zh-CN"/>
        </w:rPr>
        <w:t>4</w:t>
      </w:r>
      <w:r>
        <w:rPr>
          <w:rFonts w:hint="default" w:ascii="Times New Roman" w:hAnsi="Times New Roman" w:cs="Times New Roman"/>
        </w:rPr>
        <w:t>年度工作安排的基础上，结合部门职责、单位年度计划等内容，提炼出年度重点工作安排。根据部门职能的特点和历年工作开展情况，将本单位202</w:t>
      </w:r>
      <w:r>
        <w:rPr>
          <w:rFonts w:hint="default" w:ascii="Times New Roman" w:hAnsi="Times New Roman" w:cs="Times New Roman"/>
          <w:lang w:val="en-US" w:eastAsia="zh-CN"/>
        </w:rPr>
        <w:t>4</w:t>
      </w:r>
      <w:r>
        <w:rPr>
          <w:rFonts w:hint="default" w:ascii="Times New Roman" w:hAnsi="Times New Roman" w:cs="Times New Roman"/>
        </w:rPr>
        <w:t>的重点工作分为以下几部分：</w:t>
      </w:r>
    </w:p>
    <w:p w14:paraId="024D0B31">
      <w:pPr>
        <w:pageBreakBefore w:val="0"/>
        <w:widowControl w:val="0"/>
        <w:numPr>
          <w:ilvl w:val="0"/>
          <w:numId w:val="1"/>
        </w:numPr>
        <w:kinsoku/>
        <w:wordWrap/>
        <w:overflowPunct/>
        <w:topLinePunct w:val="0"/>
        <w:autoSpaceDE/>
        <w:autoSpaceDN/>
        <w:bidi w:val="0"/>
        <w:adjustRightInd w:val="0"/>
        <w:snapToGrid w:val="0"/>
        <w:textAlignment w:val="auto"/>
        <w:rPr>
          <w:rFonts w:hint="default" w:ascii="Times New Roman" w:hAnsi="Times New Roman" w:cs="Times New Roman"/>
          <w:lang w:eastAsia="zh-CN"/>
        </w:rPr>
      </w:pPr>
      <w:r>
        <w:rPr>
          <w:rFonts w:hint="default" w:ascii="Times New Roman" w:hAnsi="Times New Roman" w:cs="Times New Roman"/>
          <w:lang w:eastAsia="zh-CN"/>
        </w:rPr>
        <w:t>抢抓南疆职业教育高质量发展机遇，积极申报第二批全国“双高校”，力争学院转设本科职业院校纳入自治区教育厅“十四五”规划中期修规，全面推进“优质校”验收和办学条件达标验收工作，全力推动学院整体转型升级，</w:t>
      </w:r>
      <w:r>
        <w:rPr>
          <w:rFonts w:hint="default" w:ascii="Times New Roman" w:hAnsi="Times New Roman" w:cs="Times New Roman"/>
        </w:rPr>
        <w:t>为地区经济社会发展增添新动能</w:t>
      </w:r>
      <w:r>
        <w:rPr>
          <w:rFonts w:hint="default" w:ascii="Times New Roman" w:hAnsi="Times New Roman" w:cs="Times New Roman"/>
          <w:lang w:eastAsia="zh-CN"/>
        </w:rPr>
        <w:t>。</w:t>
      </w:r>
    </w:p>
    <w:p w14:paraId="235245C9">
      <w:pPr>
        <w:pageBreakBefore w:val="0"/>
        <w:widowControl w:val="0"/>
        <w:numPr>
          <w:ilvl w:val="0"/>
          <w:numId w:val="0"/>
        </w:numPr>
        <w:kinsoku/>
        <w:wordWrap/>
        <w:overflowPunct/>
        <w:topLinePunct w:val="0"/>
        <w:autoSpaceDE/>
        <w:autoSpaceDN/>
        <w:bidi w:val="0"/>
        <w:adjustRightInd w:val="0"/>
        <w:snapToGrid w:val="0"/>
        <w:ind w:firstLine="640" w:firstLineChars="200"/>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认</w:t>
      </w:r>
      <w:r>
        <w:rPr>
          <w:rFonts w:hint="default" w:ascii="Times New Roman" w:hAnsi="Times New Roman" w:cs="Times New Roman"/>
        </w:rPr>
        <w:t>真落实党委领导下的院长负责制，落实好民主集中制。深入贯彻习近平总书记关于全面从严治党的重要论述，严格落实全面从严治党主体责任和监督责任清单，将全面从严治党、从严治校持续深入。坚持正确用人导向，推动干部能上能下、能进能出，打造堪当重任的高素质干部队伍。持续推进党建品牌建设，以高质量党建推动中心工作，加大“五个好”标准化规范化党支部创建力度，力争学院“五个好”标准化规范化党支部创建100</w:t>
      </w:r>
      <w:r>
        <w:rPr>
          <w:rFonts w:hint="eastAsia" w:ascii="Times New Roman" w:hAnsi="Times New Roman" w:cs="Times New Roman"/>
          <w:lang w:val="en-US" w:eastAsia="zh-CN"/>
        </w:rPr>
        <w:t>.00</w:t>
      </w:r>
      <w:r>
        <w:rPr>
          <w:rFonts w:hint="default" w:ascii="Times New Roman" w:hAnsi="Times New Roman" w:cs="Times New Roman"/>
        </w:rPr>
        <w:t>%全覆</w:t>
      </w:r>
      <w:r>
        <w:rPr>
          <w:rFonts w:hint="eastAsia" w:ascii="Times New Roman" w:hAnsi="Times New Roman" w:cs="Times New Roman"/>
          <w:lang w:val="en-US" w:eastAsia="zh-CN"/>
        </w:rPr>
        <w:t>盖</w:t>
      </w:r>
      <w:r>
        <w:rPr>
          <w:rFonts w:hint="default" w:ascii="Times New Roman" w:hAnsi="Times New Roman" w:cs="Times New Roman"/>
        </w:rPr>
        <w:t>，并争创自治区“五个好”标准化规范化党支部。</w:t>
      </w:r>
    </w:p>
    <w:p w14:paraId="560BEF2B">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rPr>
        <w:t>（3）不断深化民族团结进步教育。扎实开展民族团结“好班级”“好宿舍”“好学生”等创建微行动，优化完善“民族团结一家亲”和民族团结联谊活动，深化拓展“三进两联一交友”活动，持续推进混班混宿，促进各族师生广泛交往、全面交流、深度交融。全面推广普及国家通用语言文字，进一步巩固学院国家通用语言文字教学全覆盖成果，促进国家通用语言文字教学运用向深度和广度拓展；建立健全毕业生普通话水平等级测试达标与毕业证书相挂钩制度，深入开展推广普及国家通用语言文字工作专项治理行动，营造学</w:t>
      </w:r>
      <w:r>
        <w:rPr>
          <w:rFonts w:hint="eastAsia" w:ascii="Times New Roman" w:hAnsi="Times New Roman" w:cs="Times New Roman"/>
          <w:lang w:eastAsia="zh-CN"/>
        </w:rPr>
        <w:t>、</w:t>
      </w:r>
      <w:r>
        <w:rPr>
          <w:rFonts w:hint="default" w:ascii="Times New Roman" w:hAnsi="Times New Roman" w:cs="Times New Roman"/>
        </w:rPr>
        <w:t>讲</w:t>
      </w:r>
      <w:r>
        <w:rPr>
          <w:rFonts w:hint="eastAsia" w:ascii="Times New Roman" w:hAnsi="Times New Roman" w:cs="Times New Roman"/>
          <w:lang w:eastAsia="zh-CN"/>
        </w:rPr>
        <w:t>、</w:t>
      </w:r>
      <w:r>
        <w:rPr>
          <w:rFonts w:hint="default" w:ascii="Times New Roman" w:hAnsi="Times New Roman" w:cs="Times New Roman"/>
        </w:rPr>
        <w:t>用国家通用语言文字浓厚氛围。</w:t>
      </w:r>
    </w:p>
    <w:p w14:paraId="393467F7">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rPr>
        <w:t>（4）深入推进访企拓岗促就业专项行动，扎实开展“第四届就业创业文化节”系列活动，办好线上线下校园招聘活动，拓宽市场化就业渠道，推动毕业生充分就业、高质量就业，确保年终就业率稳定在95</w:t>
      </w:r>
      <w:r>
        <w:rPr>
          <w:rFonts w:hint="eastAsia" w:ascii="Times New Roman" w:hAnsi="Times New Roman" w:cs="Times New Roman"/>
          <w:lang w:val="en-US" w:eastAsia="zh-CN"/>
        </w:rPr>
        <w:t>.00</w:t>
      </w:r>
      <w:r>
        <w:rPr>
          <w:rFonts w:hint="default" w:ascii="Times New Roman" w:hAnsi="Times New Roman" w:cs="Times New Roman"/>
        </w:rPr>
        <w:t>%以上。加强创新创业教育，不断提升学生的职业素养和就业创业能力。完善“岗课赛证”综合育人机制，推进学生在自治区级以上技能大赛中再创佳绩。做好“1+X”证书制度试点工作，提高学生取证率。</w:t>
      </w:r>
    </w:p>
    <w:p w14:paraId="4959DF05">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5</w:t>
      </w:r>
      <w:r>
        <w:rPr>
          <w:rFonts w:hint="default" w:ascii="Times New Roman" w:hAnsi="Times New Roman" w:cs="Times New Roman"/>
        </w:rPr>
        <w:t>）强化专业与课程建设。主动适应区域经济发展转型和产业升级的需要，优化完善专业动态调整机制，持续深化医养健康服务、绿色现代农业、数字新媒体技术3大优质专业群教育教学改革，增设新专业3个，不断提升专业服务地方产业发展的能力；积极对接地区及疆内中职学校，力争与中职学校联办新增2个中、高职贯通专业，搭建好中、高职教育衔接课程“立交桥”；持续深化“四联四通”课程思政模式改革，牵头开发一批具有职业教育特色的思政教学资源，积极承办地区职业院校思政教师教学能力大赛赛事，着力培育建设1支思政理论课创新团队，重点打造2个思政示范课堂。</w:t>
      </w:r>
    </w:p>
    <w:p w14:paraId="34F32A7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lang w:eastAsia="zh-CN"/>
        </w:rPr>
      </w:pPr>
      <w:r>
        <w:rPr>
          <w:rFonts w:hint="default" w:ascii="Times New Roman" w:hAnsi="Times New Roman" w:cs="Times New Roman"/>
        </w:rPr>
        <w:t>（</w:t>
      </w:r>
      <w:r>
        <w:rPr>
          <w:rFonts w:hint="default" w:ascii="Times New Roman" w:hAnsi="Times New Roman" w:cs="Times New Roman"/>
          <w:lang w:val="en-US" w:eastAsia="zh-CN"/>
        </w:rPr>
        <w:t>6</w:t>
      </w:r>
      <w:r>
        <w:rPr>
          <w:rFonts w:hint="default" w:ascii="Times New Roman" w:hAnsi="Times New Roman" w:cs="Times New Roman"/>
        </w:rPr>
        <w:t>）推动企业深度参与协同育人，实现校企“双元”育人功能</w:t>
      </w:r>
      <w:r>
        <w:rPr>
          <w:rFonts w:hint="default" w:ascii="Times New Roman" w:hAnsi="Times New Roman" w:cs="Times New Roman"/>
          <w:lang w:eastAsia="zh-CN"/>
        </w:rPr>
        <w:t>。</w:t>
      </w:r>
      <w:r>
        <w:rPr>
          <w:rFonts w:hint="default" w:ascii="Times New Roman" w:hAnsi="Times New Roman" w:cs="Times New Roman"/>
        </w:rPr>
        <w:t>持续巩固与中曼石油、吉利汽车集团、翔宇航空、振兴牧业、华羿元腾、京橙能源等大型企业合作，推进“双主体，深融合”订单班建设，不断创新订单班人才培养模式，切实做到专业对接产业、课程对接岗位、培养过程对接生产过程。坚持创新提质，贯彻“四个面向”要求，实施院级重点科研创新团队培育工程，积极组织、指导教师申报各级各类课题，争取产出高质量科研成果。</w:t>
      </w:r>
    </w:p>
    <w:p w14:paraId="5210F7AB">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（三）部门单位整体预算规模及安排情况</w:t>
      </w:r>
    </w:p>
    <w:p w14:paraId="20019FDF">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1.年初预算安排情况</w:t>
      </w:r>
    </w:p>
    <w:p w14:paraId="0ACA260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我单位2024年年初安排预算</w:t>
      </w:r>
      <w:r>
        <w:rPr>
          <w:rFonts w:hint="default" w:ascii="Times New Roman" w:hAnsi="Times New Roman" w:cs="Times New Roman"/>
        </w:rPr>
        <w:t>26,255.15</w:t>
      </w:r>
      <w:r>
        <w:rPr>
          <w:rFonts w:hint="default" w:ascii="Times New Roman" w:hAnsi="Times New Roman" w:cs="Times New Roman"/>
          <w:lang w:val="en-US" w:eastAsia="zh-CN"/>
        </w:rPr>
        <w:t>万元</w:t>
      </w:r>
      <w:r>
        <w:rPr>
          <w:rFonts w:hint="eastAsia" w:ascii="Times New Roman" w:hAnsi="Times New Roman" w:cs="Times New Roman"/>
          <w:lang w:val="en-US" w:eastAsia="zh-CN"/>
        </w:rPr>
        <w:t>（数据取自2024年预算公开报告）</w:t>
      </w:r>
      <w:r>
        <w:rPr>
          <w:rFonts w:hint="default" w:ascii="Times New Roman" w:hAnsi="Times New Roman" w:cs="Times New Roman"/>
          <w:lang w:val="en-US" w:eastAsia="zh-CN"/>
        </w:rPr>
        <w:t>，其中：基本支出</w:t>
      </w:r>
      <w:r>
        <w:rPr>
          <w:rFonts w:hint="default" w:ascii="Times New Roman" w:hAnsi="Times New Roman" w:cs="Times New Roman"/>
        </w:rPr>
        <w:t>16,631.48</w:t>
      </w:r>
      <w:r>
        <w:rPr>
          <w:rFonts w:hint="default" w:ascii="Times New Roman" w:hAnsi="Times New Roman" w:cs="Times New Roman"/>
          <w:lang w:val="en-US" w:eastAsia="zh-CN"/>
        </w:rPr>
        <w:t>万元，占</w:t>
      </w:r>
      <w:r>
        <w:rPr>
          <w:rFonts w:hint="default" w:ascii="Times New Roman" w:hAnsi="Times New Roman" w:cs="Times New Roman"/>
        </w:rPr>
        <w:t>63.35</w:t>
      </w:r>
      <w:r>
        <w:rPr>
          <w:rFonts w:hint="default" w:ascii="Times New Roman" w:hAnsi="Times New Roman" w:cs="Times New Roman"/>
          <w:lang w:val="en-US" w:eastAsia="zh-CN"/>
        </w:rPr>
        <w:t>%，比上年预算增加</w:t>
      </w:r>
      <w:r>
        <w:rPr>
          <w:rFonts w:hint="default" w:ascii="Times New Roman" w:hAnsi="Times New Roman" w:cs="Times New Roman"/>
        </w:rPr>
        <w:t>2,288.0</w:t>
      </w:r>
      <w:r>
        <w:rPr>
          <w:rFonts w:hint="eastAsia" w:ascii="Times New Roman" w:hAnsi="Times New Roman" w:cs="Times New Roman"/>
          <w:lang w:val="en-US" w:eastAsia="zh-CN"/>
        </w:rPr>
        <w:t>5</w:t>
      </w:r>
      <w:r>
        <w:rPr>
          <w:rFonts w:hint="default" w:ascii="Times New Roman" w:hAnsi="Times New Roman" w:cs="Times New Roman"/>
          <w:lang w:val="en-US" w:eastAsia="zh-CN"/>
        </w:rPr>
        <w:t>万元，增长</w:t>
      </w:r>
      <w:r>
        <w:rPr>
          <w:rFonts w:hint="default" w:ascii="Times New Roman" w:hAnsi="Times New Roman" w:cs="Times New Roman"/>
        </w:rPr>
        <w:t>15.95</w:t>
      </w:r>
      <w:r>
        <w:rPr>
          <w:rFonts w:hint="default" w:ascii="Times New Roman" w:hAnsi="Times New Roman" w:cs="Times New Roman"/>
          <w:lang w:val="en-US" w:eastAsia="zh-CN"/>
        </w:rPr>
        <w:t>%，主要原因是</w:t>
      </w:r>
      <w:r>
        <w:rPr>
          <w:rFonts w:hint="default" w:ascii="Times New Roman" w:hAnsi="Times New Roman" w:cs="Times New Roman"/>
        </w:rPr>
        <w:t>一是在职人员新增16人，退休人员新增4人，导致基本工资、津贴补贴、社保等人员经费增加；二是工资增资和遗属增加1人，导致基本支出增加</w:t>
      </w:r>
      <w:r>
        <w:rPr>
          <w:rFonts w:hint="default" w:ascii="Times New Roman" w:hAnsi="Times New Roman" w:cs="Times New Roman"/>
          <w:lang w:eastAsia="zh-CN"/>
        </w:rPr>
        <w:t>；</w:t>
      </w:r>
      <w:r>
        <w:rPr>
          <w:rFonts w:hint="default" w:ascii="Times New Roman" w:hAnsi="Times New Roman" w:cs="Times New Roman"/>
          <w:lang w:val="en-US" w:eastAsia="zh-CN"/>
        </w:rPr>
        <w:t>项目支出</w:t>
      </w:r>
      <w:r>
        <w:rPr>
          <w:rFonts w:hint="default" w:ascii="Times New Roman" w:hAnsi="Times New Roman" w:cs="Times New Roman"/>
        </w:rPr>
        <w:t>9,623.67万元，占36.65%</w:t>
      </w:r>
      <w:r>
        <w:rPr>
          <w:rFonts w:hint="default" w:ascii="Times New Roman" w:hAnsi="Times New Roman" w:cs="Times New Roman"/>
          <w:lang w:val="en-US" w:eastAsia="zh-CN"/>
        </w:rPr>
        <w:t>，比上年预算增长</w:t>
      </w:r>
      <w:r>
        <w:rPr>
          <w:rFonts w:hint="default" w:ascii="Times New Roman" w:hAnsi="Times New Roman" w:cs="Times New Roman"/>
        </w:rPr>
        <w:t>3,496.5</w:t>
      </w:r>
      <w:r>
        <w:rPr>
          <w:rFonts w:hint="eastAsia" w:ascii="Times New Roman" w:hAnsi="Times New Roman" w:cs="Times New Roman"/>
          <w:lang w:val="en-US" w:eastAsia="zh-CN"/>
        </w:rPr>
        <w:t>0</w:t>
      </w:r>
      <w:r>
        <w:rPr>
          <w:rFonts w:hint="default" w:ascii="Times New Roman" w:hAnsi="Times New Roman" w:cs="Times New Roman"/>
          <w:lang w:val="en-US" w:eastAsia="zh-CN"/>
        </w:rPr>
        <w:t>万元，增长</w:t>
      </w:r>
      <w:r>
        <w:rPr>
          <w:rFonts w:hint="default" w:ascii="Times New Roman" w:hAnsi="Times New Roman" w:cs="Times New Roman"/>
        </w:rPr>
        <w:t>57.07</w:t>
      </w:r>
      <w:r>
        <w:rPr>
          <w:rFonts w:hint="default" w:ascii="Times New Roman" w:hAnsi="Times New Roman" w:cs="Times New Roman"/>
          <w:lang w:val="en-US" w:eastAsia="zh-CN"/>
        </w:rPr>
        <w:t>%，主要原因是</w:t>
      </w:r>
      <w:r>
        <w:rPr>
          <w:rFonts w:hint="default" w:ascii="Times New Roman" w:hAnsi="Times New Roman" w:cs="Times New Roman"/>
        </w:rPr>
        <w:t>一是新增了图书馆购置项目500</w:t>
      </w:r>
      <w:r>
        <w:rPr>
          <w:rFonts w:hint="eastAsia" w:ascii="Times New Roman" w:hAnsi="Times New Roman" w:cs="Times New Roman"/>
          <w:lang w:val="en-US" w:eastAsia="zh-CN"/>
        </w:rPr>
        <w:t>.00</w:t>
      </w:r>
      <w:r>
        <w:rPr>
          <w:rFonts w:hint="default" w:ascii="Times New Roman" w:hAnsi="Times New Roman" w:cs="Times New Roman"/>
        </w:rPr>
        <w:t>万元和办学条件达标工程（三期建设项目）经费3</w:t>
      </w:r>
      <w:r>
        <w:rPr>
          <w:rFonts w:hint="eastAsia" w:ascii="Times New Roman" w:hAnsi="Times New Roman" w:cs="Times New Roman"/>
          <w:lang w:val="en-US" w:eastAsia="zh-CN"/>
        </w:rPr>
        <w:t>,</w:t>
      </w:r>
      <w:r>
        <w:rPr>
          <w:rFonts w:hint="default" w:ascii="Times New Roman" w:hAnsi="Times New Roman" w:cs="Times New Roman"/>
        </w:rPr>
        <w:t>000</w:t>
      </w:r>
      <w:r>
        <w:rPr>
          <w:rFonts w:hint="eastAsia" w:ascii="Times New Roman" w:hAnsi="Times New Roman" w:cs="Times New Roman"/>
          <w:lang w:val="en-US" w:eastAsia="zh-CN"/>
        </w:rPr>
        <w:t>.00</w:t>
      </w:r>
      <w:r>
        <w:rPr>
          <w:rFonts w:hint="default" w:ascii="Times New Roman" w:hAnsi="Times New Roman" w:cs="Times New Roman"/>
        </w:rPr>
        <w:t>万元；二是教育教学运行项目资金较上年增加17</w:t>
      </w:r>
      <w:r>
        <w:rPr>
          <w:rFonts w:hint="eastAsia" w:ascii="Times New Roman" w:hAnsi="Times New Roman" w:cs="Times New Roman"/>
          <w:lang w:val="en-US" w:eastAsia="zh-CN"/>
        </w:rPr>
        <w:t>.00</w:t>
      </w:r>
      <w:r>
        <w:rPr>
          <w:rFonts w:hint="default" w:ascii="Times New Roman" w:hAnsi="Times New Roman" w:cs="Times New Roman"/>
        </w:rPr>
        <w:t>万元，自治区医疗服务与保障能力提升（卫生健康人才队伍建设）补助项目培养要求较去年提高，项目资金较去年增长。</w:t>
      </w:r>
    </w:p>
    <w:p w14:paraId="2A6C5B6D">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2.预算调整（追加减）情况</w:t>
      </w:r>
    </w:p>
    <w:p w14:paraId="54627A1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FF0000"/>
          <w:lang w:val="en-US" w:eastAsia="zh-CN"/>
        </w:rPr>
      </w:pPr>
      <w:r>
        <w:rPr>
          <w:rFonts w:hint="default" w:ascii="Times New Roman" w:hAnsi="Times New Roman" w:cs="Times New Roman"/>
          <w:lang w:eastAsia="zh-CN"/>
        </w:rPr>
        <w:t>我单位</w:t>
      </w: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年度全年预算</w:t>
      </w:r>
      <w:r>
        <w:rPr>
          <w:rFonts w:hint="default" w:ascii="Times New Roman" w:hAnsi="Times New Roman" w:cs="Times New Roman"/>
          <w:lang w:val="en-US" w:eastAsia="zh-CN"/>
        </w:rPr>
        <w:t>数</w:t>
      </w:r>
      <w:r>
        <w:rPr>
          <w:rFonts w:hint="default" w:ascii="Times New Roman" w:hAnsi="Times New Roman" w:cs="Times New Roman"/>
        </w:rPr>
        <w:t>为</w:t>
      </w:r>
      <w:r>
        <w:rPr>
          <w:rFonts w:hint="default" w:ascii="Times New Roman" w:hAnsi="Times New Roman" w:cs="Times New Roman"/>
          <w:lang w:val="en-US" w:eastAsia="zh-CN"/>
        </w:rPr>
        <w:t>36</w:t>
      </w:r>
      <w:r>
        <w:rPr>
          <w:rFonts w:hint="eastAsia" w:ascii="Times New Roman" w:hAnsi="Times New Roman" w:cs="Times New Roman"/>
          <w:lang w:val="en-US" w:eastAsia="zh-CN"/>
        </w:rPr>
        <w:t>,</w:t>
      </w:r>
      <w:r>
        <w:rPr>
          <w:rFonts w:hint="default" w:ascii="Times New Roman" w:hAnsi="Times New Roman" w:cs="Times New Roman"/>
          <w:lang w:val="en-US" w:eastAsia="zh-CN"/>
        </w:rPr>
        <w:t>216.39</w:t>
      </w:r>
      <w:r>
        <w:rPr>
          <w:rFonts w:hint="default" w:ascii="Times New Roman" w:hAnsi="Times New Roman" w:cs="Times New Roman"/>
        </w:rPr>
        <w:t>万元，预算调整数为</w:t>
      </w:r>
      <w:r>
        <w:rPr>
          <w:rFonts w:hint="default" w:ascii="Times New Roman" w:hAnsi="Times New Roman" w:cs="Times New Roman"/>
          <w:lang w:val="en-US" w:eastAsia="zh-CN"/>
        </w:rPr>
        <w:t>9</w:t>
      </w:r>
      <w:r>
        <w:rPr>
          <w:rFonts w:hint="eastAsia" w:ascii="Times New Roman" w:hAnsi="Times New Roman" w:cs="Times New Roman"/>
          <w:lang w:val="en-US" w:eastAsia="zh-CN"/>
        </w:rPr>
        <w:t>,</w:t>
      </w:r>
      <w:r>
        <w:rPr>
          <w:rFonts w:hint="default" w:ascii="Times New Roman" w:hAnsi="Times New Roman" w:cs="Times New Roman"/>
          <w:lang w:val="en-US" w:eastAsia="zh-CN"/>
        </w:rPr>
        <w:t>961.24</w:t>
      </w:r>
      <w:r>
        <w:rPr>
          <w:rFonts w:hint="default" w:ascii="Times New Roman" w:hAnsi="Times New Roman" w:cs="Times New Roman"/>
        </w:rPr>
        <w:t>万元，预算</w:t>
      </w:r>
      <w:r>
        <w:rPr>
          <w:rFonts w:hint="default" w:ascii="Times New Roman" w:hAnsi="Times New Roman" w:cs="Times New Roman"/>
          <w:lang w:val="en-US" w:eastAsia="zh-CN"/>
        </w:rPr>
        <w:t>调整</w:t>
      </w:r>
      <w:r>
        <w:rPr>
          <w:rFonts w:hint="default" w:ascii="Times New Roman" w:hAnsi="Times New Roman" w:cs="Times New Roman"/>
        </w:rPr>
        <w:t>率为</w:t>
      </w:r>
      <w:r>
        <w:rPr>
          <w:rFonts w:hint="default" w:ascii="Times New Roman" w:hAnsi="Times New Roman" w:cs="Times New Roman"/>
          <w:lang w:val="en-US" w:eastAsia="zh-CN"/>
        </w:rPr>
        <w:t>37.94</w:t>
      </w:r>
      <w:r>
        <w:rPr>
          <w:rFonts w:hint="default" w:ascii="Times New Roman" w:hAnsi="Times New Roman" w:cs="Times New Roman"/>
        </w:rPr>
        <w:t>%</w:t>
      </w:r>
      <w:r>
        <w:rPr>
          <w:rFonts w:hint="default" w:ascii="Times New Roman" w:hAnsi="Times New Roman" w:cs="Times New Roman"/>
          <w:lang w:val="en-US" w:eastAsia="zh-CN"/>
        </w:rPr>
        <w:t>。预算调整原因是：追加项目经费13</w:t>
      </w:r>
      <w:r>
        <w:rPr>
          <w:rFonts w:hint="eastAsia" w:ascii="Times New Roman" w:hAnsi="Times New Roman" w:cs="Times New Roman"/>
          <w:lang w:val="en-US" w:eastAsia="zh-CN"/>
        </w:rPr>
        <w:t>,</w:t>
      </w:r>
      <w:r>
        <w:rPr>
          <w:rFonts w:hint="default" w:ascii="Times New Roman" w:hAnsi="Times New Roman" w:cs="Times New Roman"/>
          <w:lang w:val="en-US" w:eastAsia="zh-CN"/>
        </w:rPr>
        <w:t>009.93万元，调减人员经费362.69万元，调减公用经费2</w:t>
      </w:r>
      <w:r>
        <w:rPr>
          <w:rFonts w:hint="eastAsia" w:ascii="Times New Roman" w:hAnsi="Times New Roman" w:cs="Times New Roman"/>
          <w:lang w:val="en-US" w:eastAsia="zh-CN"/>
        </w:rPr>
        <w:t>,</w:t>
      </w:r>
      <w:r>
        <w:rPr>
          <w:rFonts w:hint="default" w:ascii="Times New Roman" w:hAnsi="Times New Roman" w:cs="Times New Roman"/>
          <w:lang w:val="en-US" w:eastAsia="zh-CN"/>
        </w:rPr>
        <w:t>686</w:t>
      </w:r>
      <w:r>
        <w:rPr>
          <w:rFonts w:hint="eastAsia" w:ascii="Times New Roman" w:hAnsi="Times New Roman" w:cs="Times New Roman"/>
          <w:lang w:val="en-US" w:eastAsia="zh-CN"/>
        </w:rPr>
        <w:t>.00</w:t>
      </w:r>
      <w:r>
        <w:rPr>
          <w:rFonts w:hint="default" w:ascii="Times New Roman" w:hAnsi="Times New Roman" w:cs="Times New Roman"/>
          <w:lang w:val="en-US" w:eastAsia="zh-CN"/>
        </w:rPr>
        <w:t>万元。</w:t>
      </w:r>
    </w:p>
    <w:p w14:paraId="74A28C06">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3.资金使用主要内容、涉及的范围</w:t>
      </w:r>
    </w:p>
    <w:p w14:paraId="1DD7007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highlight w:val="none"/>
          <w:lang w:val="en-US" w:eastAsia="zh-CN"/>
        </w:rPr>
      </w:pPr>
      <w:r>
        <w:rPr>
          <w:rFonts w:hint="default" w:ascii="Times New Roman" w:hAnsi="Times New Roman" w:cs="Times New Roman"/>
          <w:lang w:val="en-US" w:eastAsia="zh-CN"/>
        </w:rPr>
        <w:t>我单位2024年度部门</w:t>
      </w:r>
      <w:r>
        <w:rPr>
          <w:rFonts w:hint="default" w:ascii="Times New Roman" w:hAnsi="Times New Roman" w:cs="Times New Roman"/>
          <w:highlight w:val="none"/>
          <w:lang w:val="en-US" w:eastAsia="zh-CN"/>
        </w:rPr>
        <w:t>整体支出为36</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129.12万元，其中：</w:t>
      </w:r>
    </w:p>
    <w:p w14:paraId="4F75757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highlight w:val="none"/>
          <w:lang w:val="en-US" w:eastAsia="zh-CN"/>
        </w:rPr>
        <w:t>1.支出性质：基本支出13</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582.7</w:t>
      </w:r>
      <w:r>
        <w:rPr>
          <w:rFonts w:hint="eastAsia" w:ascii="Times New Roman" w:hAnsi="Times New Roman" w:cs="Times New Roman"/>
          <w:highlight w:val="none"/>
          <w:lang w:val="en-US" w:eastAsia="zh-CN"/>
        </w:rPr>
        <w:t>8</w:t>
      </w:r>
      <w:r>
        <w:rPr>
          <w:rFonts w:hint="default" w:ascii="Times New Roman" w:hAnsi="Times New Roman" w:cs="Times New Roman"/>
          <w:highlight w:val="none"/>
          <w:lang w:val="en-US" w:eastAsia="zh-CN"/>
        </w:rPr>
        <w:t>万元，资金的使用方向为我单位机关人员经费支出10</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977.16万元，日常公用经费支出2</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605.62万元；项目支出共计22</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546.34万元，</w:t>
      </w:r>
      <w:r>
        <w:rPr>
          <w:rFonts w:hint="default" w:ascii="Times New Roman" w:hAnsi="Times New Roman" w:cs="Times New Roman"/>
          <w:lang w:val="en-US" w:eastAsia="zh-CN"/>
        </w:rPr>
        <w:t>主要用于保障提前下达2024年学生资助补助经费预算（本专科国家助学金）项目、提前下达2024年中央现代职业教育质量提升计划资金预算项目、提前下达2024年自治区教育项目经费预算（自治区职业教育专项资金）项目等项目支出；</w:t>
      </w:r>
    </w:p>
    <w:p w14:paraId="0A1250BB">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2.涉及范围（按经济分类）：包括工资福利支出10</w:t>
      </w:r>
      <w:r>
        <w:rPr>
          <w:rFonts w:hint="eastAsia" w:ascii="Times New Roman" w:hAnsi="Times New Roman" w:cs="Times New Roman"/>
          <w:lang w:val="en-US" w:eastAsia="zh-CN"/>
        </w:rPr>
        <w:t>,</w:t>
      </w:r>
      <w:r>
        <w:rPr>
          <w:rFonts w:hint="default" w:ascii="Times New Roman" w:hAnsi="Times New Roman" w:cs="Times New Roman"/>
          <w:lang w:val="en-US" w:eastAsia="zh-CN"/>
        </w:rPr>
        <w:t>906.95万元，商品和服务支出6</w:t>
      </w:r>
      <w:r>
        <w:rPr>
          <w:rFonts w:hint="eastAsia" w:ascii="Times New Roman" w:hAnsi="Times New Roman" w:cs="Times New Roman"/>
          <w:lang w:val="en-US" w:eastAsia="zh-CN"/>
        </w:rPr>
        <w:t>,</w:t>
      </w:r>
      <w:r>
        <w:rPr>
          <w:rFonts w:hint="default" w:ascii="Times New Roman" w:hAnsi="Times New Roman" w:cs="Times New Roman"/>
          <w:lang w:val="en-US" w:eastAsia="zh-CN"/>
        </w:rPr>
        <w:t>233.81万元，对个人和家庭的补助3</w:t>
      </w:r>
      <w:r>
        <w:rPr>
          <w:rFonts w:hint="eastAsia" w:ascii="Times New Roman" w:hAnsi="Times New Roman" w:cs="Times New Roman"/>
          <w:lang w:val="en-US" w:eastAsia="zh-CN"/>
        </w:rPr>
        <w:t>,</w:t>
      </w:r>
      <w:r>
        <w:rPr>
          <w:rFonts w:hint="default" w:ascii="Times New Roman" w:hAnsi="Times New Roman" w:cs="Times New Roman"/>
          <w:lang w:val="en-US" w:eastAsia="zh-CN"/>
        </w:rPr>
        <w:t>069.01万元，资本性支出15</w:t>
      </w:r>
      <w:r>
        <w:rPr>
          <w:rFonts w:hint="eastAsia" w:ascii="Times New Roman" w:hAnsi="Times New Roman" w:cs="Times New Roman"/>
          <w:lang w:val="en-US" w:eastAsia="zh-CN"/>
        </w:rPr>
        <w:t>,</w:t>
      </w:r>
      <w:r>
        <w:rPr>
          <w:rFonts w:hint="default" w:ascii="Times New Roman" w:hAnsi="Times New Roman" w:cs="Times New Roman"/>
          <w:lang w:val="en-US" w:eastAsia="zh-CN"/>
        </w:rPr>
        <w:t>732.85万元</w:t>
      </w:r>
      <w:r>
        <w:rPr>
          <w:rFonts w:hint="eastAsia"/>
          <w:lang w:eastAsia="zh-CN"/>
        </w:rPr>
        <w:t>，债务利息及费用支出</w:t>
      </w:r>
      <w:r>
        <w:rPr>
          <w:rFonts w:hint="eastAsia" w:ascii="Times New Roman" w:hAnsi="Times New Roman" w:cs="Times New Roman"/>
          <w:lang w:val="en-US" w:eastAsia="zh-CN"/>
        </w:rPr>
        <w:t>186.50</w:t>
      </w:r>
      <w:r>
        <w:rPr>
          <w:rFonts w:hint="eastAsia"/>
          <w:lang w:val="en-US" w:eastAsia="zh-CN"/>
        </w:rPr>
        <w:t>万元</w:t>
      </w:r>
      <w:r>
        <w:rPr>
          <w:rFonts w:hint="default" w:ascii="Times New Roman" w:hAnsi="Times New Roman" w:cs="Times New Roman"/>
          <w:lang w:val="en-US" w:eastAsia="zh-CN"/>
        </w:rPr>
        <w:t>。</w:t>
      </w:r>
    </w:p>
    <w:p w14:paraId="2AB71FB5">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bookmarkStart w:id="1" w:name="_Toc32535_WPSOffice_Level1"/>
      <w:r>
        <w:rPr>
          <w:rFonts w:hint="default" w:ascii="Times New Roman" w:hAnsi="Times New Roman" w:cs="Times New Roman"/>
          <w:lang w:val="en-US" w:eastAsia="zh-CN"/>
        </w:rPr>
        <w:t>二、</w:t>
      </w:r>
      <w:r>
        <w:rPr>
          <w:rFonts w:hint="default" w:ascii="Times New Roman" w:hAnsi="Times New Roman" w:cs="Times New Roman"/>
        </w:rPr>
        <w:t>部门单位整体支出管理及使用情况</w:t>
      </w:r>
      <w:bookmarkEnd w:id="1"/>
    </w:p>
    <w:p w14:paraId="5A5DE890">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（一）部门收入支出总体情况</w:t>
      </w:r>
    </w:p>
    <w:p w14:paraId="41F8856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我单位2024年度全年部门整体支出36</w:t>
      </w:r>
      <w:r>
        <w:rPr>
          <w:rFonts w:hint="eastAsia" w:ascii="Times New Roman" w:hAnsi="Times New Roman" w:cs="Times New Roman"/>
          <w:lang w:val="en-US" w:eastAsia="zh-CN"/>
        </w:rPr>
        <w:t>,</w:t>
      </w:r>
      <w:r>
        <w:rPr>
          <w:rFonts w:hint="default" w:ascii="Times New Roman" w:hAnsi="Times New Roman" w:cs="Times New Roman"/>
          <w:lang w:val="en-US" w:eastAsia="zh-CN"/>
        </w:rPr>
        <w:t>129.12万元，其中：基本支出13</w:t>
      </w:r>
      <w:r>
        <w:rPr>
          <w:rFonts w:hint="eastAsia" w:ascii="Times New Roman" w:hAnsi="Times New Roman" w:cs="Times New Roman"/>
          <w:lang w:val="en-US" w:eastAsia="zh-CN"/>
        </w:rPr>
        <w:t>,</w:t>
      </w:r>
      <w:r>
        <w:rPr>
          <w:rFonts w:hint="default" w:ascii="Times New Roman" w:hAnsi="Times New Roman" w:cs="Times New Roman"/>
          <w:lang w:val="en-US" w:eastAsia="zh-CN"/>
        </w:rPr>
        <w:t>582.7</w:t>
      </w:r>
      <w:r>
        <w:rPr>
          <w:rFonts w:hint="eastAsia" w:ascii="Times New Roman" w:hAnsi="Times New Roman" w:cs="Times New Roman"/>
          <w:lang w:val="en-US" w:eastAsia="zh-CN"/>
        </w:rPr>
        <w:t>8</w:t>
      </w:r>
      <w:r>
        <w:rPr>
          <w:rFonts w:hint="default" w:ascii="Times New Roman" w:hAnsi="Times New Roman" w:cs="Times New Roman"/>
          <w:lang w:val="en-US" w:eastAsia="zh-CN"/>
        </w:rPr>
        <w:t>万元，项目支出22</w:t>
      </w:r>
      <w:r>
        <w:rPr>
          <w:rFonts w:hint="eastAsia" w:ascii="Times New Roman" w:hAnsi="Times New Roman" w:cs="Times New Roman"/>
          <w:lang w:val="en-US" w:eastAsia="zh-CN"/>
        </w:rPr>
        <w:t>,</w:t>
      </w:r>
      <w:r>
        <w:rPr>
          <w:rFonts w:hint="default" w:ascii="Times New Roman" w:hAnsi="Times New Roman" w:cs="Times New Roman"/>
          <w:lang w:val="en-US" w:eastAsia="zh-CN"/>
        </w:rPr>
        <w:t>546.34万元。全年预算执行率为99.76%。</w:t>
      </w:r>
    </w:p>
    <w:p w14:paraId="3135D6C9">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（二）基本支出和使用情况</w:t>
      </w:r>
    </w:p>
    <w:p w14:paraId="6C16D3B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highlight w:val="none"/>
          <w:lang w:val="en-US" w:eastAsia="zh-CN"/>
        </w:rPr>
      </w:pPr>
      <w:r>
        <w:rPr>
          <w:rFonts w:hint="default" w:ascii="Times New Roman" w:hAnsi="Times New Roman" w:cs="Times New Roman"/>
          <w:lang w:val="en-US" w:eastAsia="zh-CN"/>
        </w:rPr>
        <w:t>基本支出预算是指为保障部门正常运转、完成日常工作任务而制定的本单位人员薪酬福利支出计划和日常办公经费支出计划，可分为人员经费支出和公用经费支出。2024年我单位部门基本支出全年预算总额13</w:t>
      </w:r>
      <w:r>
        <w:rPr>
          <w:rFonts w:hint="eastAsia" w:ascii="Times New Roman" w:hAnsi="Times New Roman" w:cs="Times New Roman"/>
          <w:lang w:val="en-US" w:eastAsia="zh-CN"/>
        </w:rPr>
        <w:t>,</w:t>
      </w:r>
      <w:r>
        <w:rPr>
          <w:rFonts w:hint="default" w:ascii="Times New Roman" w:hAnsi="Times New Roman" w:cs="Times New Roman"/>
          <w:lang w:val="en-US" w:eastAsia="zh-CN"/>
        </w:rPr>
        <w:t>582.79万元，全年实际支出13</w:t>
      </w:r>
      <w:r>
        <w:rPr>
          <w:rFonts w:hint="eastAsia" w:ascii="Times New Roman" w:hAnsi="Times New Roman" w:cs="Times New Roman"/>
          <w:lang w:val="en-US" w:eastAsia="zh-CN"/>
        </w:rPr>
        <w:t>,</w:t>
      </w:r>
      <w:r>
        <w:rPr>
          <w:rFonts w:hint="default" w:ascii="Times New Roman" w:hAnsi="Times New Roman" w:cs="Times New Roman"/>
          <w:lang w:val="en-US" w:eastAsia="zh-CN"/>
        </w:rPr>
        <w:t>582.79万元，资金执行率100</w:t>
      </w:r>
      <w:r>
        <w:rPr>
          <w:rFonts w:hint="eastAsia" w:ascii="Times New Roman" w:hAnsi="Times New Roman" w:cs="Times New Roman"/>
          <w:lang w:val="en-US" w:eastAsia="zh-CN"/>
        </w:rPr>
        <w:t>.00</w:t>
      </w:r>
      <w:r>
        <w:rPr>
          <w:rFonts w:hint="default" w:ascii="Times New Roman" w:hAnsi="Times New Roman" w:cs="Times New Roman"/>
          <w:lang w:val="en-US" w:eastAsia="zh-CN"/>
        </w:rPr>
        <w:t>%。基本支出严格按照</w:t>
      </w:r>
      <w:r>
        <w:rPr>
          <w:rFonts w:hint="default" w:ascii="Times New Roman" w:hAnsi="Times New Roman" w:cs="Times New Roman"/>
          <w:highlight w:val="none"/>
          <w:lang w:val="en-US" w:eastAsia="zh-CN"/>
        </w:rPr>
        <w:t>财务管理制度执行，人员工资由相关部门逐个审核，按月申报及发放，其中：</w:t>
      </w:r>
    </w:p>
    <w:p w14:paraId="63B14D9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人员经费支出10</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977.16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74CB7A9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FF0000"/>
          <w:lang w:val="en-US" w:eastAsia="zh-CN"/>
        </w:rPr>
      </w:pPr>
      <w:r>
        <w:rPr>
          <w:rFonts w:hint="default" w:ascii="Times New Roman" w:hAnsi="Times New Roman" w:cs="Times New Roman"/>
          <w:highlight w:val="none"/>
          <w:lang w:val="en-US" w:eastAsia="zh-CN"/>
        </w:rPr>
        <w:t>公用经费支出2</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605.62万元，主要</w:t>
      </w:r>
      <w:r>
        <w:rPr>
          <w:rFonts w:hint="default" w:ascii="Times New Roman" w:hAnsi="Times New Roman" w:cs="Times New Roman"/>
          <w:lang w:val="en-US" w:eastAsia="zh-CN"/>
        </w:rPr>
        <w:t>包括：办公费、印刷费、水费、电费、邮电费、取暖费、物业管理费、差旅费、培训费、公务接待费、工会经费、福利费、公务用车运行维护费、其他交通费用、其他商品和服务支出。</w:t>
      </w:r>
    </w:p>
    <w:p w14:paraId="47D4303A">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（三）政策落实及支出情况</w:t>
      </w:r>
    </w:p>
    <w:p w14:paraId="0EC9A7A9">
      <w:pPr>
        <w:bidi w:val="0"/>
        <w:rPr>
          <w:rFonts w:hint="default" w:ascii="Times New Roman" w:hAnsi="Times New Roman" w:eastAsia="仿宋_GB2312" w:cs="Times New Roman"/>
          <w:bCs/>
          <w:sz w:val="32"/>
          <w:szCs w:val="32"/>
        </w:rPr>
      </w:pPr>
      <w:r>
        <w:rPr>
          <w:rFonts w:hint="default" w:ascii="Times New Roman" w:hAnsi="Times New Roman" w:cs="Times New Roman"/>
          <w:lang w:val="en-US" w:eastAsia="zh-CN"/>
        </w:rPr>
        <w:t>我单位严格落实中央、自治区</w:t>
      </w:r>
      <w:r>
        <w:rPr>
          <w:rFonts w:hint="default" w:ascii="Times New Roman" w:hAnsi="Times New Roman" w:cs="Times New Roman"/>
          <w:color w:val="auto"/>
          <w:lang w:val="en-US" w:eastAsia="zh-CN"/>
        </w:rPr>
        <w:t>、地区的“三免一补”政策，全年用于该项政策支出</w:t>
      </w:r>
      <w:r>
        <w:rPr>
          <w:rFonts w:hint="eastAsia" w:ascii="Times New Roman" w:hAnsi="Times New Roman" w:cs="Times New Roman"/>
          <w:color w:val="auto"/>
          <w:lang w:val="en-US" w:eastAsia="zh-CN"/>
        </w:rPr>
        <w:t>506.60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在政策执行过程中，严格</w:t>
      </w:r>
      <w:r>
        <w:rPr>
          <w:rFonts w:hint="default" w:ascii="Times New Roman" w:hAnsi="Times New Roman" w:eastAsia="仿宋_GB2312" w:cs="Times New Roman"/>
          <w:bCs/>
          <w:color w:val="auto"/>
          <w:sz w:val="32"/>
          <w:szCs w:val="32"/>
        </w:rPr>
        <w:t>按照单位审批权限</w:t>
      </w:r>
      <w:r>
        <w:rPr>
          <w:rFonts w:hint="default" w:ascii="Times New Roman" w:hAnsi="Times New Roman" w:cs="Times New Roman"/>
          <w:bCs/>
          <w:color w:val="auto"/>
          <w:sz w:val="32"/>
          <w:szCs w:val="32"/>
          <w:lang w:val="en-US" w:eastAsia="zh-CN"/>
        </w:rPr>
        <w:t>及</w:t>
      </w:r>
      <w:r>
        <w:rPr>
          <w:rFonts w:hint="default" w:ascii="Times New Roman" w:hAnsi="Times New Roman" w:eastAsia="仿宋_GB2312" w:cs="Times New Roman"/>
          <w:bCs/>
          <w:color w:val="auto"/>
          <w:sz w:val="32"/>
          <w:szCs w:val="32"/>
        </w:rPr>
        <w:t>相关专项资金管理办法要求执行资金，</w:t>
      </w:r>
      <w:r>
        <w:rPr>
          <w:rFonts w:hint="default" w:ascii="Times New Roman" w:hAnsi="Times New Roman" w:eastAsia="仿宋_GB2312" w:cs="Times New Roman"/>
          <w:bCs/>
          <w:sz w:val="32"/>
          <w:szCs w:val="32"/>
        </w:rPr>
        <w:t>实行专账核算、逐级审批；认真落实</w:t>
      </w:r>
      <w:r>
        <w:rPr>
          <w:rFonts w:hint="default" w:ascii="Times New Roman" w:hAnsi="Times New Roman" w:cs="Times New Roman"/>
          <w:bCs/>
          <w:sz w:val="32"/>
          <w:szCs w:val="32"/>
          <w:lang w:val="en-US" w:eastAsia="zh-CN"/>
        </w:rPr>
        <w:t>政策</w:t>
      </w:r>
      <w:r>
        <w:rPr>
          <w:rFonts w:hint="default" w:ascii="Times New Roman" w:hAnsi="Times New Roman" w:eastAsia="仿宋_GB2312" w:cs="Times New Roman"/>
          <w:bCs/>
          <w:sz w:val="32"/>
          <w:szCs w:val="32"/>
        </w:rPr>
        <w:t>资金使用各项管理制度，确保专款专用，及时拨付到位。在本年度各级审计和财政监督检查中未发现</w:t>
      </w:r>
      <w:r>
        <w:rPr>
          <w:rFonts w:hint="default" w:ascii="Times New Roman" w:hAnsi="Times New Roman" w:cs="Times New Roman"/>
          <w:bCs/>
          <w:sz w:val="32"/>
          <w:szCs w:val="32"/>
          <w:lang w:val="en-US" w:eastAsia="zh-CN"/>
        </w:rPr>
        <w:t>政策落实及</w:t>
      </w:r>
      <w:r>
        <w:rPr>
          <w:rFonts w:hint="default" w:ascii="Times New Roman" w:hAnsi="Times New Roman" w:eastAsia="仿宋_GB2312" w:cs="Times New Roman"/>
          <w:bCs/>
          <w:sz w:val="32"/>
          <w:szCs w:val="32"/>
        </w:rPr>
        <w:t>资金使用合规性问题。</w:t>
      </w:r>
    </w:p>
    <w:p w14:paraId="6DC27331">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（四）项目支出管理和使用情况</w:t>
      </w:r>
    </w:p>
    <w:p w14:paraId="40A90AA7">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1.项目支出安排落实、总投入情况分析</w:t>
      </w:r>
    </w:p>
    <w:p w14:paraId="0C4DAB7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eastAsia="zh-CN"/>
        </w:rPr>
      </w:pPr>
      <w:r>
        <w:rPr>
          <w:rFonts w:hint="default" w:ascii="Times New Roman" w:hAnsi="Times New Roman" w:cs="Times New Roman"/>
          <w:lang w:val="en-US" w:eastAsia="zh-CN"/>
        </w:rPr>
        <w:t>我单位</w:t>
      </w:r>
      <w:r>
        <w:rPr>
          <w:rFonts w:hint="default" w:ascii="Times New Roman" w:hAnsi="Times New Roman" w:cs="Times New Roman"/>
          <w:lang w:eastAsia="zh-CN"/>
        </w:rPr>
        <w:t>202</w:t>
      </w:r>
      <w:r>
        <w:rPr>
          <w:rFonts w:hint="default" w:ascii="Times New Roman" w:hAnsi="Times New Roman" w:cs="Times New Roman"/>
          <w:lang w:val="en-US" w:eastAsia="zh-CN"/>
        </w:rPr>
        <w:t>4</w:t>
      </w:r>
      <w:r>
        <w:rPr>
          <w:rFonts w:hint="default" w:ascii="Times New Roman" w:hAnsi="Times New Roman" w:cs="Times New Roman"/>
          <w:lang w:eastAsia="zh-CN"/>
        </w:rPr>
        <w:t>年</w:t>
      </w:r>
      <w:r>
        <w:rPr>
          <w:rFonts w:hint="default" w:ascii="Times New Roman" w:hAnsi="Times New Roman" w:cs="Times New Roman"/>
          <w:lang w:val="en-US" w:eastAsia="zh-CN"/>
        </w:rPr>
        <w:t>度共</w:t>
      </w:r>
      <w:r>
        <w:rPr>
          <w:rFonts w:hint="default" w:ascii="Times New Roman" w:hAnsi="Times New Roman" w:cs="Times New Roman"/>
          <w:lang w:eastAsia="zh-CN"/>
        </w:rPr>
        <w:t>安排</w:t>
      </w:r>
      <w:r>
        <w:rPr>
          <w:rFonts w:hint="default" w:ascii="Times New Roman" w:hAnsi="Times New Roman" w:cs="Times New Roman"/>
          <w:lang w:val="en-US" w:eastAsia="zh-CN"/>
        </w:rPr>
        <w:t>项目支出预算22</w:t>
      </w:r>
      <w:r>
        <w:rPr>
          <w:rFonts w:hint="eastAsia" w:ascii="Times New Roman" w:hAnsi="Times New Roman" w:cs="Times New Roman"/>
          <w:lang w:val="en-US" w:eastAsia="zh-CN"/>
        </w:rPr>
        <w:t>,</w:t>
      </w:r>
      <w:r>
        <w:rPr>
          <w:rFonts w:hint="default" w:ascii="Times New Roman" w:hAnsi="Times New Roman" w:cs="Times New Roman"/>
          <w:lang w:val="en-US" w:eastAsia="zh-CN"/>
        </w:rPr>
        <w:t>633.60</w:t>
      </w:r>
      <w:r>
        <w:rPr>
          <w:rFonts w:hint="default" w:ascii="Times New Roman" w:hAnsi="Times New Roman" w:cs="Times New Roman"/>
          <w:lang w:eastAsia="zh-CN"/>
        </w:rPr>
        <w:t>万元（含上年结</w:t>
      </w:r>
      <w:r>
        <w:rPr>
          <w:rFonts w:hint="eastAsia" w:ascii="Times New Roman" w:hAnsi="Times New Roman" w:cs="Times New Roman"/>
          <w:lang w:val="en-US" w:eastAsia="zh-CN"/>
        </w:rPr>
        <w:t>转</w:t>
      </w:r>
      <w:r>
        <w:rPr>
          <w:rFonts w:hint="default" w:ascii="Times New Roman" w:hAnsi="Times New Roman" w:cs="Times New Roman"/>
          <w:lang w:val="en-US" w:eastAsia="zh-CN"/>
        </w:rPr>
        <w:t>270</w:t>
      </w:r>
      <w:r>
        <w:rPr>
          <w:rFonts w:hint="eastAsia" w:ascii="Times New Roman" w:hAnsi="Times New Roman" w:cs="Times New Roman"/>
          <w:lang w:val="en-US" w:eastAsia="zh-CN"/>
        </w:rPr>
        <w:t>.00</w:t>
      </w:r>
      <w:r>
        <w:rPr>
          <w:rFonts w:hint="default" w:ascii="Times New Roman" w:hAnsi="Times New Roman" w:cs="Times New Roman"/>
          <w:lang w:eastAsia="zh-CN"/>
        </w:rPr>
        <w:t>万元</w:t>
      </w:r>
      <w:r>
        <w:rPr>
          <w:rFonts w:hint="eastAsia" w:ascii="Times New Roman" w:hAnsi="Times New Roman" w:cs="Times New Roman"/>
          <w:lang w:eastAsia="zh-CN"/>
        </w:rPr>
        <w:t>）</w:t>
      </w:r>
      <w:r>
        <w:rPr>
          <w:rFonts w:hint="default" w:ascii="Times New Roman" w:hAnsi="Times New Roman" w:cs="Times New Roman"/>
          <w:lang w:eastAsia="zh-CN"/>
        </w:rPr>
        <w:t>，</w:t>
      </w:r>
      <w:r>
        <w:rPr>
          <w:rFonts w:hint="default" w:ascii="Times New Roman" w:hAnsi="Times New Roman" w:cs="Times New Roman"/>
          <w:lang w:val="en-US" w:eastAsia="zh-CN"/>
        </w:rPr>
        <w:t>其中：上级专项资金</w:t>
      </w:r>
      <w:r>
        <w:rPr>
          <w:rFonts w:hint="eastAsia" w:ascii="Times New Roman" w:hAnsi="Times New Roman" w:cs="Times New Roman"/>
          <w:lang w:val="en-US" w:eastAsia="zh-CN"/>
        </w:rPr>
        <w:t>4,572.86</w:t>
      </w:r>
      <w:r>
        <w:rPr>
          <w:rFonts w:hint="default" w:ascii="Times New Roman" w:hAnsi="Times New Roman" w:cs="Times New Roman"/>
          <w:lang w:val="en-US" w:eastAsia="zh-CN"/>
        </w:rPr>
        <w:t>万元，本级财政安排项目资金</w:t>
      </w:r>
      <w:r>
        <w:rPr>
          <w:rFonts w:hint="eastAsia" w:ascii="Times New Roman" w:hAnsi="Times New Roman" w:cs="Times New Roman"/>
          <w:lang w:val="en-US" w:eastAsia="zh-CN"/>
        </w:rPr>
        <w:t>15,227.64</w:t>
      </w:r>
      <w:r>
        <w:rPr>
          <w:rFonts w:hint="default" w:ascii="Times New Roman" w:hAnsi="Times New Roman" w:cs="Times New Roman"/>
          <w:lang w:val="en-US" w:eastAsia="zh-CN"/>
        </w:rPr>
        <w:t>万元，其他资金</w:t>
      </w:r>
      <w:r>
        <w:rPr>
          <w:rFonts w:hint="eastAsia" w:ascii="Times New Roman" w:hAnsi="Times New Roman" w:cs="Times New Roman"/>
          <w:lang w:val="en-US" w:eastAsia="zh-CN"/>
        </w:rPr>
        <w:t>2,833.10</w:t>
      </w:r>
      <w:r>
        <w:rPr>
          <w:rFonts w:hint="default" w:ascii="Times New Roman" w:hAnsi="Times New Roman" w:cs="Times New Roman"/>
          <w:lang w:val="en-US" w:eastAsia="zh-CN"/>
        </w:rPr>
        <w:t>万元</w:t>
      </w:r>
      <w:r>
        <w:rPr>
          <w:rFonts w:hint="default" w:ascii="Times New Roman" w:hAnsi="Times New Roman" w:cs="Times New Roman"/>
          <w:lang w:eastAsia="zh-CN"/>
        </w:rPr>
        <w:t>。</w:t>
      </w:r>
    </w:p>
    <w:p w14:paraId="2C625AA8">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2.项目支出实际使用、管理情况分析</w:t>
      </w:r>
    </w:p>
    <w:p w14:paraId="4FC2609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我单位2024年度项目资金实际支出22</w:t>
      </w:r>
      <w:r>
        <w:rPr>
          <w:rFonts w:hint="eastAsia" w:ascii="Times New Roman" w:hAnsi="Times New Roman" w:cs="Times New Roman"/>
          <w:lang w:val="en-US" w:eastAsia="zh-CN"/>
        </w:rPr>
        <w:t>,</w:t>
      </w:r>
      <w:r>
        <w:rPr>
          <w:rFonts w:hint="default" w:ascii="Times New Roman" w:hAnsi="Times New Roman" w:cs="Times New Roman"/>
          <w:lang w:val="en-US" w:eastAsia="zh-CN"/>
        </w:rPr>
        <w:t>546.34万元，其中：上级专项资金支出</w:t>
      </w:r>
      <w:r>
        <w:rPr>
          <w:rFonts w:hint="eastAsia" w:ascii="Times New Roman" w:hAnsi="Times New Roman" w:cs="Times New Roman"/>
          <w:lang w:val="en-US" w:eastAsia="zh-CN"/>
        </w:rPr>
        <w:t>4,572.86</w:t>
      </w:r>
      <w:r>
        <w:rPr>
          <w:rFonts w:hint="default" w:ascii="Times New Roman" w:hAnsi="Times New Roman" w:cs="Times New Roman"/>
          <w:lang w:val="en-US" w:eastAsia="zh-CN"/>
        </w:rPr>
        <w:t>万元，本级财政安排项目资金支出</w:t>
      </w:r>
      <w:r>
        <w:rPr>
          <w:rFonts w:hint="eastAsia" w:ascii="Times New Roman" w:hAnsi="Times New Roman" w:cs="Times New Roman"/>
          <w:lang w:val="en-US" w:eastAsia="zh-CN"/>
        </w:rPr>
        <w:t>15,227.64</w:t>
      </w:r>
      <w:r>
        <w:rPr>
          <w:rFonts w:hint="default" w:ascii="Times New Roman" w:hAnsi="Times New Roman" w:cs="Times New Roman"/>
          <w:lang w:val="en-US" w:eastAsia="zh-CN"/>
        </w:rPr>
        <w:t>万元，其他资金2</w:t>
      </w:r>
      <w:r>
        <w:rPr>
          <w:rFonts w:hint="eastAsia" w:ascii="Times New Roman" w:hAnsi="Times New Roman" w:cs="Times New Roman"/>
          <w:lang w:val="en-US" w:eastAsia="zh-CN"/>
        </w:rPr>
        <w:t>,</w:t>
      </w:r>
      <w:r>
        <w:rPr>
          <w:rFonts w:hint="default" w:ascii="Times New Roman" w:hAnsi="Times New Roman" w:cs="Times New Roman"/>
          <w:lang w:val="en-US" w:eastAsia="zh-CN"/>
        </w:rPr>
        <w:t>745.84万元，项目预算资金执行率99.61%，结转结余资金87.26万元。</w:t>
      </w:r>
      <w:bookmarkStart w:id="2" w:name="_Toc1734_WPSOffice_Level1"/>
      <w:r>
        <w:rPr>
          <w:rFonts w:hint="default" w:ascii="Times New Roman" w:hAnsi="Times New Roman" w:cs="Times New Roman"/>
          <w:lang w:val="en-US" w:eastAsia="zh-CN"/>
        </w:rPr>
        <w:t>具体项目支出实际使用及管理情况如下：</w:t>
      </w:r>
    </w:p>
    <w:p w14:paraId="20AA190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（1）上级安排支出项目支出情况</w:t>
      </w:r>
    </w:p>
    <w:p w14:paraId="1754951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①提前下达2024年学生资助补助经费预算（中等职业学校免学费）项目安排预算资金261.10万元，项目支出261.10万元，结转或结余0.00万元。</w:t>
      </w:r>
    </w:p>
    <w:p w14:paraId="00D2FEF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3月开始实施，2024年11月完成，按预定目标完成保障免学费学生人数1460人，保障学院全年9个月用水和7个月的用电，完成发放人事代理教师劳务费1次。通过本项目的实施，有效减轻了受资助学生的家庭经济困难，有效保障了学校教育教学工作正常运转。</w:t>
      </w:r>
    </w:p>
    <w:p w14:paraId="0B9F26F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②2024年学生资助补助经费预算（第二批）中央直达资金（中职国家奖学金）项目安排预算资金1.20万元，项目支出1.20万元，结转或结余0.00万元。</w:t>
      </w:r>
    </w:p>
    <w:p w14:paraId="3F95957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5月开始实施，2024年12月完成，按预定目标完成国家奖学金奖励人数2人。通过项目的实施，有效提升了学生学习积极性。</w:t>
      </w:r>
    </w:p>
    <w:p w14:paraId="4AF5A16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③提前下达2023年学生资助补助经费预算（中央直达）中职助学金项目安排预算资金8.00万元，项目支出8.00万元，结转或结余0.00万元。</w:t>
      </w:r>
    </w:p>
    <w:p w14:paraId="279D313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5月完成，按预定目标完成共计补发中职学生资助82人次。通过本项目的实施，在普通高中及中职国家助学金名额分配时，适当向农村地区、贫困地区和民族地区倾斜，有效减轻了学生家庭经济负担。</w:t>
      </w:r>
    </w:p>
    <w:p w14:paraId="36D52DE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④提前下达2024年学生资助补助经费预算（中等职业学校助学金）项目安排预算资金131.80万元，项目支出131.80万元，结转或结余0.00万元。</w:t>
      </w:r>
    </w:p>
    <w:p w14:paraId="41948DF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我单位在项目实施过程加强项目进度管理，及时跟踪项目进展，加强项目督办，充分调动职能部门的积极性，项目于2024年1月开始实施，2024年12月完成，按预定目标完成资助中职学生1</w:t>
      </w:r>
      <w:r>
        <w:rPr>
          <w:rFonts w:hint="eastAsia" w:ascii="Times New Roman" w:hAnsi="Times New Roman" w:cs="Times New Roman"/>
          <w:lang w:val="en-US" w:eastAsia="zh-CN"/>
        </w:rPr>
        <w:t>,</w:t>
      </w:r>
      <w:r>
        <w:rPr>
          <w:rFonts w:hint="default" w:ascii="Times New Roman" w:hAnsi="Times New Roman" w:cs="Times New Roman"/>
          <w:lang w:val="en-US" w:eastAsia="zh-CN"/>
        </w:rPr>
        <w:t>380人次。通过本项目的实施，在普通高中及中职国家助学金名额分配时，适当向农村地区、贫困地区和民族地区倾斜，有效减轻了学生家庭经济负担。</w:t>
      </w:r>
    </w:p>
    <w:p w14:paraId="1A82817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⑤提前下达2024年教育项目经费预算（中职免住宿和免教材费）项目安排预算资金105.70万元，项目支出105.70万元，结转或结余0.00万元。</w:t>
      </w:r>
    </w:p>
    <w:p w14:paraId="51DC708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我单位在项目实施过程加强项目进度管理，及时跟踪项目进展，加强项目督办，充分调动职能部门的积极性，项目于2024年1月开始实施，2024年12月完成，按预定目标完成教材采购2次，享受免教材学生人数达到1</w:t>
      </w:r>
      <w:r>
        <w:rPr>
          <w:rFonts w:hint="eastAsia" w:ascii="Times New Roman" w:hAnsi="Times New Roman" w:cs="Times New Roman"/>
          <w:lang w:val="en-US" w:eastAsia="zh-CN"/>
        </w:rPr>
        <w:t>,</w:t>
      </w:r>
      <w:r>
        <w:rPr>
          <w:rFonts w:hint="default" w:ascii="Times New Roman" w:hAnsi="Times New Roman" w:cs="Times New Roman"/>
          <w:lang w:val="en-US" w:eastAsia="zh-CN"/>
        </w:rPr>
        <w:t>552人。通过项目的实施有效减轻了中职学生家庭经济负担。</w:t>
      </w:r>
    </w:p>
    <w:p w14:paraId="73548D7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⑥提前下达2024年学生资助补助经费预算（中央直达资金）（本专科国家励志奖学金）项目安排预算资金217.20万元，项目支出217.20万元，结转或结余0.00万元。</w:t>
      </w:r>
    </w:p>
    <w:p w14:paraId="025DABE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10月完成，按预定目标完成专科生国家励志奖学金奖励人数362人。通过项目的实施有效激励了学生成才，有效减轻了受助学生经济负担。</w:t>
      </w:r>
    </w:p>
    <w:p w14:paraId="5BBC96B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⑦提前下达2024年学生资助补助经费预算（本专科国家助学金）项目安排预算资金</w:t>
      </w:r>
      <w:r>
        <w:rPr>
          <w:rFonts w:hint="eastAsia" w:ascii="Times New Roman" w:hAnsi="Times New Roman" w:cs="Times New Roman"/>
          <w:lang w:val="en-US" w:eastAsia="zh-CN"/>
        </w:rPr>
        <w:t>1,141.27</w:t>
      </w:r>
      <w:r>
        <w:rPr>
          <w:rFonts w:hint="default" w:ascii="Times New Roman" w:hAnsi="Times New Roman" w:cs="Times New Roman"/>
          <w:lang w:val="en-US" w:eastAsia="zh-CN"/>
        </w:rPr>
        <w:t>万元，项目支出</w:t>
      </w:r>
      <w:r>
        <w:rPr>
          <w:rFonts w:hint="eastAsia" w:ascii="Times New Roman" w:hAnsi="Times New Roman" w:cs="Times New Roman"/>
          <w:lang w:val="en-US" w:eastAsia="zh-CN"/>
        </w:rPr>
        <w:t>1,141.27</w:t>
      </w:r>
      <w:r>
        <w:rPr>
          <w:rFonts w:hint="default" w:ascii="Times New Roman" w:hAnsi="Times New Roman" w:cs="Times New Roman"/>
          <w:lang w:val="en-US" w:eastAsia="zh-CN"/>
        </w:rPr>
        <w:t>万元，结转或结余0.00万元。</w:t>
      </w:r>
    </w:p>
    <w:p w14:paraId="77492CF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w:t>
      </w:r>
      <w:r>
        <w:rPr>
          <w:rFonts w:hint="eastAsia" w:ascii="Times New Roman" w:hAnsi="Times New Roman" w:cs="Times New Roman"/>
          <w:lang w:val="en-US" w:eastAsia="zh-CN"/>
        </w:rPr>
        <w:t>程中</w:t>
      </w:r>
      <w:r>
        <w:rPr>
          <w:rFonts w:hint="default" w:ascii="Times New Roman" w:hAnsi="Times New Roman" w:cs="Times New Roman"/>
          <w:lang w:val="en-US" w:eastAsia="zh-CN"/>
        </w:rPr>
        <w:t>加强项目进度管理，及时跟踪项目进展，加强项目督办，充分调动职能部门的积极性，项目于2024年1月开始实施，2024年12月完成，按预定目标完成资助学生人数6878人次。通过项目的实施有效减轻了家庭经济困难学生生活负担，有效激励了学生成长成才。</w:t>
      </w:r>
    </w:p>
    <w:p w14:paraId="1C0DCFC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⑧2024年学生资助补助经费预算（第二批）中央直达资金（本专科国家奖学金）项目安排预算资金20.00万元，项目支出20.00万元，结转或结余0.00万元。</w:t>
      </w:r>
    </w:p>
    <w:p w14:paraId="35D2E9C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5月开始实施，2024年12月完成，按预定目标完成专科生国家奖学金奖励学生人数20人。通过项目的实施有效激励了学生成长成才，有效减轻了受助学生经济负担。</w:t>
      </w:r>
    </w:p>
    <w:p w14:paraId="66754F4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⑨提前下达2024年自治区教育项目经费预算（高校学生伙食补助资金）项目安排预算资金217.74万元，项目支出217.74万元，结转或结余0.00万元。</w:t>
      </w:r>
    </w:p>
    <w:p w14:paraId="45F93CB1">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3月开始实施，2024年12月完成，按预定目标完成资助学生10887人，补贴食堂4次，保障食堂商户数量6家。通过项目的实施有效减轻学生家庭经济负担，有效降低保障性食堂运营成本。</w:t>
      </w:r>
    </w:p>
    <w:p w14:paraId="4EF2678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⑩2023年学生资助补助资金预算（自治区第二批）（高校伙食）项目安排预算资金26.74万元，项目支出26.74万元，结转或结余0.00万元。</w:t>
      </w:r>
    </w:p>
    <w:p w14:paraId="4BEDBBA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补贴食堂1次，保障食堂商户5家。通过项目的实施，有效减轻了学生家庭经济负担，有效降低了保障性食堂运营成本。</w:t>
      </w:r>
    </w:p>
    <w:p w14:paraId="2398CD2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⑪提前下达2024年自治区教育项目经费预算（自治区高校班主任、辅导员补贴经费）项目安排预算资金79.10万元，项目支出79.10万元，结转或结余0.00万元。</w:t>
      </w:r>
    </w:p>
    <w:p w14:paraId="3D67CF6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补贴辅导员58人，班主任251人。通过项目的实施，有效提高了班主任、辅导员工作积极性。</w:t>
      </w:r>
    </w:p>
    <w:p w14:paraId="754EC81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⑫提前下达2024年自治区教育项目经费预算（自治区人民政府高校励志奖学金、助学金）项目安排预算资金333.40万元，项目支出333.40万元，结转或结余0.00万元。</w:t>
      </w:r>
    </w:p>
    <w:p w14:paraId="6A8D029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自治区人民政府励志奖学金奖励学生人数208人，自治区人民政府助学金资助学生人数2091人次。通过项目的实施有效，有效减轻了受助学生家庭经济困难，有效激励了学生成长成才。</w:t>
      </w:r>
    </w:p>
    <w:p w14:paraId="0C1E33C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⑬提前下达2024年学生资助补助经费预算（中央直达资金）（服兵役高等学校学生国家教育资助）项目安排预算资金17.00万元，项目支出17.00万元，结转或结余0.00万元。</w:t>
      </w:r>
    </w:p>
    <w:p w14:paraId="280B0AC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对34名服兵役学生进行学费补偿或学费减免。通过本项目的实施，有效提升了学生积极投身国防事业的热情，明显提高了退役士兵学历水平及就业竞争力，持续激励了退役士兵接受高等教育。</w:t>
      </w:r>
    </w:p>
    <w:p w14:paraId="7BAA0DE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⑭2024年学生资助补助经费预算（第二批）中央直达资金（国家助学贷款奖补）项目安排预算资金21.00万元，项目支出21.00万元，结转或结余0.00万元。</w:t>
      </w:r>
    </w:p>
    <w:p w14:paraId="2FC2B28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5月开始实施，2024年10月完成，按预定目标完成对210名高校学生发放国家助学贷款奖补资助，补贴标准为每人1000元。通过项目的实施，有效减轻了受助学生经济负担。</w:t>
      </w:r>
    </w:p>
    <w:p w14:paraId="345D013B">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⑮提前下达2024年自治区教育项目经费预算（自治区职业教育专项资金）项目安排预算资金105.00万元，项目支出105.00万元，结转或结余0.00万元。</w:t>
      </w:r>
    </w:p>
    <w:p w14:paraId="4A35C3F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3月开始实施，2024年12月完成，按预定目标完成购置设备10台套；邀请专家裁判22人次；开展师资培训2次；建设核心课程微课38个；承办技能大赛7项；技能大赛参赛人数273人次，通过项目的实施，有效提升教学质量、有效提升社会培训影响力。</w:t>
      </w:r>
    </w:p>
    <w:p w14:paraId="7D7DD3F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⑯2023年现代职业教育质量提升计划专项资金（第二批）项目安排预算资金203.40万元，项目支出203.40万元，结转或结余0.00万元。</w:t>
      </w:r>
    </w:p>
    <w:p w14:paraId="1E14347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9月完成，按预定目标完成购置图书60000册，购置配套家具5995个，购置图书馆后台数据中心服务器资源1个，购置电子阅览室终端102套。通过项目的实施有效提升了学院教育教学保障能力和学院信息化水平。</w:t>
      </w:r>
    </w:p>
    <w:p w14:paraId="24B5108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⑰2024年驻村工作经费项目安排预算资金</w:t>
      </w:r>
      <w:r>
        <w:rPr>
          <w:rFonts w:hint="eastAsia" w:ascii="Times New Roman" w:hAnsi="Times New Roman" w:cs="Times New Roman"/>
          <w:lang w:val="en-US" w:eastAsia="zh-CN"/>
        </w:rPr>
        <w:t>7</w:t>
      </w:r>
      <w:r>
        <w:rPr>
          <w:rFonts w:hint="default" w:ascii="Times New Roman" w:hAnsi="Times New Roman" w:cs="Times New Roman"/>
          <w:lang w:val="en-US" w:eastAsia="zh-CN"/>
        </w:rPr>
        <w:t>.00万元</w:t>
      </w:r>
      <w:r>
        <w:rPr>
          <w:rFonts w:hint="eastAsia" w:ascii="Times New Roman" w:hAnsi="Times New Roman" w:cs="Times New Roman"/>
          <w:lang w:val="en-US" w:eastAsia="zh-CN"/>
        </w:rPr>
        <w:t>（其中：上级资金5.00万元，本级资金2.00万元）</w:t>
      </w:r>
      <w:r>
        <w:rPr>
          <w:rFonts w:hint="default" w:ascii="Times New Roman" w:hAnsi="Times New Roman" w:cs="Times New Roman"/>
          <w:lang w:val="en-US" w:eastAsia="zh-CN"/>
        </w:rPr>
        <w:t>，项目支出</w:t>
      </w:r>
      <w:r>
        <w:rPr>
          <w:rFonts w:hint="eastAsia" w:ascii="Times New Roman" w:hAnsi="Times New Roman" w:cs="Times New Roman"/>
          <w:lang w:val="en-US" w:eastAsia="zh-CN"/>
        </w:rPr>
        <w:t>5</w:t>
      </w:r>
      <w:r>
        <w:rPr>
          <w:rFonts w:hint="default" w:ascii="Times New Roman" w:hAnsi="Times New Roman" w:cs="Times New Roman"/>
          <w:lang w:val="en-US" w:eastAsia="zh-CN"/>
        </w:rPr>
        <w:t>.00万元</w:t>
      </w:r>
      <w:r>
        <w:rPr>
          <w:rFonts w:hint="eastAsia" w:ascii="Times New Roman" w:hAnsi="Times New Roman" w:cs="Times New Roman"/>
          <w:lang w:val="en-US" w:eastAsia="zh-CN"/>
        </w:rPr>
        <w:t>（其中：上级资金5.00万元，本级资金2.00万元）</w:t>
      </w:r>
      <w:r>
        <w:rPr>
          <w:rFonts w:hint="default" w:ascii="Times New Roman" w:hAnsi="Times New Roman" w:cs="Times New Roman"/>
          <w:lang w:val="en-US" w:eastAsia="zh-CN"/>
        </w:rPr>
        <w:t>，结转或结余0.00万元。</w:t>
      </w:r>
    </w:p>
    <w:p w14:paraId="4F92D14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4月开始实施，2024年11月完成，按预定目标完成为民办好事8件，完成访贫问苦100次，完成举办各项活动10次。通过实施本项目，有效提升了村民思想道德水平和综合素质，带动了基层党组织建设。</w:t>
      </w:r>
    </w:p>
    <w:p w14:paraId="3074ADD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⑱提前下达2024年中央现代职业教育质量提升计划资金预算项目安排预算资金990.00万元，项目支出990.00万元，结转或结余0.00万元。</w:t>
      </w:r>
    </w:p>
    <w:p w14:paraId="571CA6F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购置实训设备18台，购置多媒体设备10套，维修升级老旧多媒体设备48套，改造升级多媒体电脑硬盘150台，虚拟化改造多媒体电脑200点位，建设人造草坪面积7560平方米，建设塑胶跑道面积2140平方米，1+X证书试点培训种类28种。通过项目的实施，有效提升了教学质量，提升了社会培训影响力。</w:t>
      </w:r>
    </w:p>
    <w:p w14:paraId="68458C1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⑲新疆人才发展基金2024年度第一轮支持资金（天山英才培养计划）项目安排预算资金</w:t>
      </w:r>
      <w:r>
        <w:rPr>
          <w:rFonts w:hint="eastAsia" w:ascii="Times New Roman" w:hAnsi="Times New Roman" w:cs="Times New Roman"/>
          <w:lang w:val="en-US" w:eastAsia="zh-CN"/>
        </w:rPr>
        <w:t>41.6</w:t>
      </w:r>
      <w:r>
        <w:rPr>
          <w:rFonts w:hint="default" w:ascii="Times New Roman" w:hAnsi="Times New Roman" w:cs="Times New Roman"/>
          <w:lang w:val="en-US" w:eastAsia="zh-CN"/>
        </w:rPr>
        <w:t>0万元，项目支出41.60万元，结转或结余</w:t>
      </w:r>
      <w:r>
        <w:rPr>
          <w:rFonts w:hint="eastAsia" w:ascii="Times New Roman" w:hAnsi="Times New Roman" w:cs="Times New Roman"/>
          <w:lang w:val="en-US" w:eastAsia="zh-CN"/>
        </w:rPr>
        <w:t>0.00</w:t>
      </w:r>
      <w:r>
        <w:rPr>
          <w:rFonts w:hint="default" w:ascii="Times New Roman" w:hAnsi="Times New Roman" w:cs="Times New Roman"/>
          <w:lang w:val="en-US" w:eastAsia="zh-CN"/>
        </w:rPr>
        <w:t>万元。</w:t>
      </w:r>
    </w:p>
    <w:p w14:paraId="5624E1C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FF0000"/>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4月开始实施，2024年12月完成，按预定目标完成发表论文7篇，申请专利2个，建设2个工作室，完成1门课程建设。通过项目实施，提升了专业教师整体专业技能与教学能力。</w:t>
      </w:r>
    </w:p>
    <w:p w14:paraId="07F8AF4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⑳2023年度自治区人才发展基金第一批重大人才计划项目支持资金（天山英才计划-新疆文化名家暨四个一批人才）项目安排预算资金4.52万元，项目支出4.52万元，结转或结余0.00万元。</w:t>
      </w:r>
    </w:p>
    <w:p w14:paraId="316847C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发表论文、著作2篇，形成访谈记录92份，编撰思政案例集1部，形成调研报告1份。通过本项目的实施，有效提升了人才专业能力、综合素质，丰富新疆红色资源及育人理论成果，建立红色资源育人实践范式，不断发挥示范带动作用。</w:t>
      </w:r>
    </w:p>
    <w:p w14:paraId="4D627463">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㉑提前下达2024年自治区援疆干部南疆工作补贴资金项目安排预算资金11.45万元，项目支出11.45万元，结转或结余0.00万元。</w:t>
      </w:r>
    </w:p>
    <w:p w14:paraId="6DEC180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我单位在项目实施过程加强项目进度管理，及时跟踪项目进展，加强项目督办，充分调动职能部门的积极性，项目于2024年5月开始实施，2024年12月完成，按预定目标完成</w:t>
      </w:r>
      <w:r>
        <w:rPr>
          <w:rFonts w:hint="default" w:ascii="Times New Roman" w:hAnsi="Times New Roman" w:cs="Times New Roman"/>
        </w:rPr>
        <w:t>发放12名援疆干部生活补贴，使援疆干部的基本生活得到了保障，提升了工作积极性。</w:t>
      </w:r>
    </w:p>
    <w:p w14:paraId="022B4D3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㉒提前下达2024年自治区教育项目经费预算（普通高考未升学考生继续接受职业教育保障经费）项目安排预算资金179.55万元，项目支出179.55万元，结转或结余0.00万元。</w:t>
      </w:r>
    </w:p>
    <w:p w14:paraId="79DC453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1月开始实施，2024年12月完成，按预定目标完成发放外聘教师劳务费6次。通过项目的实施，有效提高了教师的工作积极性，提高了教师队伍的管理能力。</w:t>
      </w:r>
    </w:p>
    <w:p w14:paraId="4370377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㉓提前下达2024年自治区医疗服务与保障能力提升（卫生健康人才队伍建设）补助资金预算项目安排预算资金338.42万元，项目支出338.42万元，结转或结余0.00万元。</w:t>
      </w:r>
    </w:p>
    <w:p w14:paraId="207EB43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w:t>
      </w:r>
      <w:r>
        <w:rPr>
          <w:rFonts w:hint="eastAsia" w:ascii="Times New Roman" w:hAnsi="Times New Roman" w:cs="Times New Roman"/>
          <w:lang w:val="en-US" w:eastAsia="zh-CN"/>
        </w:rPr>
        <w:t>程中</w:t>
      </w:r>
      <w:r>
        <w:rPr>
          <w:rFonts w:hint="default" w:ascii="Times New Roman" w:hAnsi="Times New Roman" w:cs="Times New Roman"/>
          <w:lang w:val="en-US" w:eastAsia="zh-CN"/>
        </w:rPr>
        <w:t>加强项目进度管理，及时跟踪项目进展，加强项目督办，充分调动职能部门的积极性，项目于2024年1月开始实施，2024年12月完成，按预定目标完成当年自治区第三轮农牧区高中起点专科层次医学教育项目招生135人，发放教师超课时费3次，发放班主任辅导员津补贴13次。通过本项目的实施,稳定了乡村医生队伍，有效减轻了受资助学生家庭经济负担。</w:t>
      </w:r>
    </w:p>
    <w:p w14:paraId="7462E8A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㉔提前下达2024年中央农业经营主体能力提升资金预算项目安排预算资金103.88万元，项目支出103.88万元，结转或结余0.00万元。</w:t>
      </w:r>
    </w:p>
    <w:p w14:paraId="0EC6BF2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5月开始实施，2024年12月完成，按预定目标完成培训高素质农民250人。通过本项目的实施，有效增强了高素质农民生产能力和经营能力。</w:t>
      </w:r>
    </w:p>
    <w:p w14:paraId="1EC2125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㉕调整下达2023年自治区科技计划专项资金（第二批）自治区自然基金地州项目安排预算资金2.93万元，项目支出2.93万元，结转或结余0.</w:t>
      </w:r>
      <w:r>
        <w:rPr>
          <w:rFonts w:hint="eastAsia" w:ascii="Times New Roman" w:hAnsi="Times New Roman" w:cs="Times New Roman"/>
          <w:lang w:val="en-US" w:eastAsia="zh-CN"/>
        </w:rPr>
        <w:t>0</w:t>
      </w:r>
      <w:r>
        <w:rPr>
          <w:rFonts w:hint="default" w:ascii="Times New Roman" w:hAnsi="Times New Roman" w:cs="Times New Roman"/>
          <w:lang w:val="en-US" w:eastAsia="zh-CN"/>
        </w:rPr>
        <w:t>0万元。</w:t>
      </w:r>
    </w:p>
    <w:p w14:paraId="6507212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2023年10月开始实施，2024年9月完成，按预定目标完成发表科研论文1篇，获得国家专利1个，阶段性实验结果交流2次。通过本项目的实施，明确了桑葚及其桑葚发酵物对T2DM模型小鼠糖、脂代谢相关指标的影响；构建了肾损伤（DKD）模型小鼠；明确了桑葚及其桑葚发酵物对DKD模型小鼠肾脏组织状态的影响。</w:t>
      </w:r>
    </w:p>
    <w:p w14:paraId="31EE0BE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㉖调整下达2023年自治区科技计划专项资金（第二批）自治区科技成果转化示范专项科技特派员农村创业行动项目安排预算资金</w:t>
      </w:r>
      <w:r>
        <w:rPr>
          <w:rFonts w:hint="eastAsia" w:ascii="Times New Roman" w:hAnsi="Times New Roman" w:cs="Times New Roman"/>
          <w:lang w:val="en-US" w:eastAsia="zh-CN"/>
        </w:rPr>
        <w:t>2.87</w:t>
      </w:r>
      <w:r>
        <w:rPr>
          <w:rFonts w:hint="default" w:ascii="Times New Roman" w:hAnsi="Times New Roman" w:cs="Times New Roman"/>
          <w:lang w:val="en-US" w:eastAsia="zh-CN"/>
        </w:rPr>
        <w:t>万元，项目支出2.87万元，结转或结余</w:t>
      </w:r>
      <w:r>
        <w:rPr>
          <w:rFonts w:hint="eastAsia" w:ascii="Times New Roman" w:hAnsi="Times New Roman" w:cs="Times New Roman"/>
          <w:lang w:val="en-US" w:eastAsia="zh-CN"/>
        </w:rPr>
        <w:t>0.00</w:t>
      </w:r>
      <w:r>
        <w:rPr>
          <w:rFonts w:hint="default" w:ascii="Times New Roman" w:hAnsi="Times New Roman" w:cs="Times New Roman"/>
          <w:lang w:val="en-US" w:eastAsia="zh-CN"/>
        </w:rPr>
        <w:t>万元。</w:t>
      </w:r>
    </w:p>
    <w:p w14:paraId="0FCB3E7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2023年10月开始实施，2024年12月完成，按预定目标完成发表论文1篇，进行550只羔羊、母羊生产性能测定，服务带动养殖户23户，培训技术工人6人，培训农牧民241人。通过本项目的实施，有效提高了养殖企业饲养管理水平，提升了参训人员技术水平。</w:t>
      </w:r>
    </w:p>
    <w:p w14:paraId="752E4DB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㉗追加安排2023年自治区科技经费-基金-重点项目安排预算资金3.00万元，项目支出3.00万元，结转或结余0.00万元。</w:t>
      </w:r>
    </w:p>
    <w:p w14:paraId="6DC3AD9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2023年11月开始实施，2024年8月完成，按预定目标完成发表论文1篇，培养学生2人。通过本项目的实施，共培养年轻科技骨干教师1人，有效提升了年轻科技骨干教师技能水平。</w:t>
      </w:r>
    </w:p>
    <w:p w14:paraId="0B3690D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（2）地区本级安排支出项目情况</w:t>
      </w:r>
    </w:p>
    <w:p w14:paraId="7790171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①农村农、林、牧、渔、煤艰苦专业补助项目安排预算资金80.00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项目支出80.00</w:t>
      </w:r>
      <w:r>
        <w:rPr>
          <w:rFonts w:hint="default" w:ascii="Times New Roman" w:hAnsi="Times New Roman" w:cs="Times New Roman"/>
          <w:color w:val="auto"/>
          <w:lang w:eastAsia="zh-CN"/>
        </w:rPr>
        <w:t>万元，结转</w:t>
      </w:r>
      <w:r>
        <w:rPr>
          <w:rFonts w:hint="default" w:ascii="Times New Roman" w:hAnsi="Times New Roman" w:cs="Times New Roman"/>
          <w:color w:val="auto"/>
          <w:lang w:val="en-US" w:eastAsia="zh-CN"/>
        </w:rPr>
        <w:t>或</w:t>
      </w:r>
      <w:r>
        <w:rPr>
          <w:rFonts w:hint="default" w:ascii="Times New Roman" w:hAnsi="Times New Roman" w:cs="Times New Roman"/>
          <w:color w:val="auto"/>
          <w:lang w:eastAsia="zh-CN"/>
        </w:rPr>
        <w:t>结余</w:t>
      </w:r>
      <w:r>
        <w:rPr>
          <w:rFonts w:hint="default" w:ascii="Times New Roman" w:hAnsi="Times New Roman" w:cs="Times New Roman"/>
          <w:color w:val="auto"/>
          <w:lang w:val="en-US" w:eastAsia="zh-CN"/>
        </w:rPr>
        <w:t>0.00</w:t>
      </w:r>
      <w:r>
        <w:rPr>
          <w:rFonts w:hint="default" w:ascii="Times New Roman" w:hAnsi="Times New Roman" w:cs="Times New Roman"/>
          <w:color w:val="auto"/>
          <w:lang w:eastAsia="zh-CN"/>
        </w:rPr>
        <w:t>万元。</w:t>
      </w:r>
    </w:p>
    <w:p w14:paraId="61AF1C9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w:t>
      </w:r>
      <w:r>
        <w:rPr>
          <w:rFonts w:hint="default" w:ascii="Times New Roman" w:hAnsi="Times New Roman" w:cs="Times New Roman"/>
          <w:color w:val="auto"/>
          <w:lang w:val="en-US" w:eastAsia="zh-CN"/>
        </w:rPr>
        <w:t>项目实施过程加强项目进度管理，及时跟踪项目进展，加强项目督办，充分调动职能部门的积极性，项目于2024年1月开始实施，2024年12月完成，</w:t>
      </w:r>
      <w:r>
        <w:rPr>
          <w:rFonts w:hint="default" w:ascii="Times New Roman" w:hAnsi="Times New Roman" w:cs="Times New Roman"/>
          <w:b w:val="0"/>
          <w:bCs w:val="0"/>
          <w:color w:val="auto"/>
          <w:lang w:val="en-US" w:eastAsia="zh-CN"/>
        </w:rPr>
        <w:t>按预定目标完成保障园艺实训基地1个，保障科技下乡服务点2个，发放实习生生活补贴10次。通过本项目的实施，有效提升了农牧民群众技术服务能力，提升了专业建设水平。</w:t>
      </w:r>
    </w:p>
    <w:p w14:paraId="60C2DF3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②地区职业教育线上教学资源共享平台运行维护费项目安排预算资金170.00万元，项目支出170.00万元，结转或结余0.00万元。</w:t>
      </w:r>
    </w:p>
    <w:p w14:paraId="02D435B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5月完成，按预定目标完成服务地区12所职业院校，新增平台数字资源量23TB，电子期刊数量3</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lang w:val="en-US" w:eastAsia="zh-CN"/>
        </w:rPr>
        <w:t>000种，在线课程建设数量64门，开展培训讲座10次。通过实施本项目有效提升了教师在校教学能力及科研能力，统筹地区各院校优质线上教学资源，建设共享共用平台节约大量资金成本，从而有效优化了地区职业教育教学资源配置能力。</w:t>
      </w:r>
    </w:p>
    <w:p w14:paraId="5B8C0BCC">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③高职院校生均拨款补助资金项目安排预算资金</w:t>
      </w:r>
      <w:r>
        <w:rPr>
          <w:rFonts w:hint="eastAsia" w:ascii="Times New Roman" w:hAnsi="Times New Roman" w:cs="Times New Roman"/>
          <w:b w:val="0"/>
          <w:bCs w:val="0"/>
          <w:color w:val="auto"/>
          <w:lang w:val="en-US" w:eastAsia="zh-CN"/>
        </w:rPr>
        <w:t>735.42</w:t>
      </w:r>
      <w:r>
        <w:rPr>
          <w:rFonts w:hint="default" w:ascii="Times New Roman" w:hAnsi="Times New Roman" w:cs="Times New Roman"/>
          <w:b w:val="0"/>
          <w:bCs w:val="0"/>
          <w:color w:val="auto"/>
          <w:lang w:val="en-US" w:eastAsia="zh-CN"/>
        </w:rPr>
        <w:t>万元，项目支出735.42万元，结转或结余</w:t>
      </w:r>
      <w:r>
        <w:rPr>
          <w:rFonts w:hint="eastAsia" w:ascii="Times New Roman" w:hAnsi="Times New Roman" w:cs="Times New Roman"/>
          <w:b w:val="0"/>
          <w:bCs w:val="0"/>
          <w:color w:val="auto"/>
          <w:lang w:val="en-US" w:eastAsia="zh-CN"/>
        </w:rPr>
        <w:t>0.00</w:t>
      </w:r>
      <w:r>
        <w:rPr>
          <w:rFonts w:hint="default" w:ascii="Times New Roman" w:hAnsi="Times New Roman" w:cs="Times New Roman"/>
          <w:b w:val="0"/>
          <w:bCs w:val="0"/>
          <w:color w:val="auto"/>
          <w:lang w:val="en-US" w:eastAsia="zh-CN"/>
        </w:rPr>
        <w:t>万元。</w:t>
      </w:r>
    </w:p>
    <w:p w14:paraId="69D02F9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我单位在项目实施过程加强项目进度管理，及时跟踪项目进展，加强项目督办，充分调动职能部门的积极性，项目于2024年10月开始实施，2024年12月完成，按预定目标完成生均拨款保障学生人数11</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lang w:val="en-US" w:eastAsia="zh-CN"/>
        </w:rPr>
        <w:t>772人，开展专项工作12个。通过项目的实施，有效保障了学院教育教学正常运转。</w:t>
      </w:r>
    </w:p>
    <w:p w14:paraId="2DBDAB4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④教育教学业务运行经费项目安排预算资金140.00万元，项目支出140.00万元，结转或结余0.00万元。</w:t>
      </w:r>
    </w:p>
    <w:p w14:paraId="1774E69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发放体育教师户外津贴17人，发放外聘教师劳务费5次，购买体育耗材4批次。通过本项目的实施，促进了教师工作积极性，保障了体育教育教学有序开展。</w:t>
      </w:r>
    </w:p>
    <w:p w14:paraId="08D5F5F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⑤办学条件达标工程（三期建设项目）经费项目安排预算资金</w:t>
      </w:r>
      <w:r>
        <w:rPr>
          <w:rFonts w:hint="eastAsia" w:ascii="Times New Roman" w:hAnsi="Times New Roman" w:cs="Times New Roman"/>
          <w:b w:val="0"/>
          <w:bCs w:val="0"/>
          <w:color w:val="auto"/>
          <w:lang w:val="en-US" w:eastAsia="zh-CN"/>
        </w:rPr>
        <w:t>469.10</w:t>
      </w:r>
      <w:r>
        <w:rPr>
          <w:rFonts w:hint="default" w:ascii="Times New Roman" w:hAnsi="Times New Roman" w:cs="Times New Roman"/>
          <w:b w:val="0"/>
          <w:bCs w:val="0"/>
          <w:color w:val="auto"/>
          <w:lang w:val="en-US" w:eastAsia="zh-CN"/>
        </w:rPr>
        <w:t>万元，项目支出469.10万元，结转或结余</w:t>
      </w:r>
      <w:r>
        <w:rPr>
          <w:rFonts w:hint="eastAsia" w:ascii="Times New Roman" w:hAnsi="Times New Roman" w:cs="Times New Roman"/>
          <w:b w:val="0"/>
          <w:bCs w:val="0"/>
          <w:color w:val="auto"/>
          <w:lang w:val="en-US" w:eastAsia="zh-CN"/>
        </w:rPr>
        <w:t>0.00</w:t>
      </w:r>
      <w:r>
        <w:rPr>
          <w:rFonts w:hint="default" w:ascii="Times New Roman" w:hAnsi="Times New Roman" w:cs="Times New Roman"/>
          <w:b w:val="0"/>
          <w:bCs w:val="0"/>
          <w:color w:val="auto"/>
          <w:lang w:val="en-US" w:eastAsia="zh-CN"/>
        </w:rPr>
        <w:t>万元。</w:t>
      </w:r>
    </w:p>
    <w:p w14:paraId="5B4B21D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w:t>
      </w:r>
      <w:r>
        <w:rPr>
          <w:rFonts w:hint="eastAsia" w:ascii="Times New Roman" w:hAnsi="Times New Roman" w:cs="Times New Roman"/>
          <w:b w:val="0"/>
          <w:bCs w:val="0"/>
          <w:color w:val="auto"/>
          <w:lang w:val="en-US" w:eastAsia="zh-CN"/>
        </w:rPr>
        <w:t>程中</w:t>
      </w:r>
      <w:r>
        <w:rPr>
          <w:rFonts w:hint="default" w:ascii="Times New Roman" w:hAnsi="Times New Roman" w:cs="Times New Roman"/>
          <w:b w:val="0"/>
          <w:bCs w:val="0"/>
          <w:color w:val="auto"/>
          <w:lang w:val="en-US" w:eastAsia="zh-CN"/>
        </w:rPr>
        <w:t>加强项目进度管理，及时跟踪项目进展，加强项目督办，充分调动职能部门的积极性，项目于2024年1月开始实施，2024年12月完成，按预定目标完成保障阿克苏职业技术学院1所高校基础设施建设，通过项目的实施，有效促进了学院办学条件改善，逐步提升了学院吸引力。</w:t>
      </w:r>
    </w:p>
    <w:p w14:paraId="237C36E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⑥图书馆购置项目安排预算资金500.00万元，项目支出500.00万元，结转或结余0.00万元。</w:t>
      </w:r>
    </w:p>
    <w:p w14:paraId="39EC440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购置纸质图书34万册，通过项目的实施使办学条件图书藏书量达到了应有标准。</w:t>
      </w:r>
    </w:p>
    <w:p w14:paraId="241C660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⑦2023年阿克苏地区教育业绩评价奖励金项目安排预算资金69.00万元，项目支出69.00万元，结转或结余0.00万元。</w:t>
      </w:r>
    </w:p>
    <w:p w14:paraId="6B1C028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4月开始实施，2024年4月完成，按预定目标完成发放地直院校奖励业绩人数140人,通过项目的实施，提升了教职工参与技能大赛的积极性。</w:t>
      </w:r>
    </w:p>
    <w:p w14:paraId="05D6F99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⑧ 2024年自治区地方政府债券（阿克苏职业技术学院新校区三期建设项目）安排预算资金</w:t>
      </w:r>
      <w:r>
        <w:rPr>
          <w:rFonts w:hint="eastAsia" w:ascii="Times New Roman" w:hAnsi="Times New Roman" w:cs="Times New Roman"/>
          <w:lang w:val="en-US" w:eastAsia="zh-CN"/>
        </w:rPr>
        <w:t>12,869.09</w:t>
      </w:r>
      <w:r>
        <w:rPr>
          <w:rFonts w:hint="default" w:ascii="Times New Roman" w:hAnsi="Times New Roman" w:cs="Times New Roman"/>
          <w:lang w:val="en-US" w:eastAsia="zh-CN"/>
        </w:rPr>
        <w:t>万元，项目支出</w:t>
      </w:r>
      <w:r>
        <w:rPr>
          <w:rFonts w:hint="eastAsia" w:ascii="Times New Roman" w:hAnsi="Times New Roman" w:cs="Times New Roman"/>
          <w:lang w:val="en-US" w:eastAsia="zh-CN"/>
        </w:rPr>
        <w:t>12,869.09</w:t>
      </w:r>
      <w:r>
        <w:rPr>
          <w:rFonts w:hint="default" w:ascii="Times New Roman" w:hAnsi="Times New Roman" w:cs="Times New Roman"/>
          <w:lang w:val="en-US" w:eastAsia="zh-CN"/>
        </w:rPr>
        <w:t>万元，结转或结余0.00万元。</w:t>
      </w:r>
    </w:p>
    <w:p w14:paraId="3B8227C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lang w:val="en-US" w:eastAsia="zh-CN"/>
        </w:rPr>
        <w:t>我单位在项目实施过</w:t>
      </w:r>
      <w:r>
        <w:rPr>
          <w:rFonts w:hint="eastAsia" w:ascii="Times New Roman" w:hAnsi="Times New Roman" w:cs="Times New Roman"/>
          <w:lang w:val="en-US" w:eastAsia="zh-CN"/>
        </w:rPr>
        <w:t>程中</w:t>
      </w:r>
      <w:r>
        <w:rPr>
          <w:rFonts w:hint="default" w:ascii="Times New Roman" w:hAnsi="Times New Roman" w:cs="Times New Roman"/>
          <w:lang w:val="en-US" w:eastAsia="zh-CN"/>
        </w:rPr>
        <w:t>加强项目进度管理，及时跟踪项目进展，加强项目督办，充分调动职能部门的积极性，项目于2024年</w:t>
      </w:r>
      <w:r>
        <w:rPr>
          <w:rFonts w:hint="eastAsia" w:ascii="Times New Roman" w:hAnsi="Times New Roman" w:cs="Times New Roman"/>
          <w:lang w:val="en-US" w:eastAsia="zh-CN"/>
        </w:rPr>
        <w:t>1</w:t>
      </w:r>
      <w:r>
        <w:rPr>
          <w:rFonts w:hint="default" w:ascii="Times New Roman" w:hAnsi="Times New Roman" w:cs="Times New Roman"/>
          <w:lang w:val="en-US" w:eastAsia="zh-CN"/>
        </w:rPr>
        <w:t>月开始实施，2024年</w:t>
      </w:r>
      <w:r>
        <w:rPr>
          <w:rFonts w:hint="eastAsia" w:ascii="Times New Roman" w:hAnsi="Times New Roman" w:cs="Times New Roman"/>
          <w:lang w:val="en-US" w:eastAsia="zh-CN"/>
        </w:rPr>
        <w:t>12</w:t>
      </w:r>
      <w:r>
        <w:rPr>
          <w:rFonts w:hint="default" w:ascii="Times New Roman" w:hAnsi="Times New Roman" w:cs="Times New Roman"/>
          <w:lang w:val="en-US" w:eastAsia="zh-CN"/>
        </w:rPr>
        <w:t>月完成，按预定目标完成</w:t>
      </w:r>
      <w:r>
        <w:rPr>
          <w:rFonts w:hint="eastAsia" w:ascii="Times New Roman" w:hAnsi="Times New Roman" w:cs="Times New Roman"/>
          <w:lang w:val="en-US" w:eastAsia="zh-CN"/>
        </w:rPr>
        <w:t>学院图书馆、成人继续教育中心、风雨操场、大学生创新创业中心、综合实训楼4栋的开工建设</w:t>
      </w:r>
      <w:r>
        <w:rPr>
          <w:rFonts w:hint="default" w:ascii="Times New Roman" w:hAnsi="Times New Roman" w:cs="Times New Roman"/>
          <w:lang w:val="en-US" w:eastAsia="zh-CN"/>
        </w:rPr>
        <w:t>。通过实施本项目，</w:t>
      </w:r>
      <w:r>
        <w:rPr>
          <w:rFonts w:hint="default" w:ascii="Times New Roman" w:hAnsi="Times New Roman" w:cs="Times New Roman"/>
          <w:b w:val="0"/>
          <w:bCs w:val="0"/>
          <w:color w:val="auto"/>
          <w:lang w:val="en-US" w:eastAsia="zh-CN"/>
        </w:rPr>
        <w:t>有效促进了学院办学条件改善，逐步提升了学院吸引力。</w:t>
      </w:r>
    </w:p>
    <w:p w14:paraId="77ACD5D3">
      <w:pPr>
        <w:rPr>
          <w:rFonts w:hint="default" w:ascii="Times New Roman" w:hAnsi="Times New Roman" w:cs="Times New Roman"/>
          <w:lang w:val="en-US" w:eastAsia="zh-CN"/>
        </w:rPr>
      </w:pPr>
      <w:r>
        <w:rPr>
          <w:rFonts w:hint="default" w:ascii="Times New Roman" w:hAnsi="Times New Roman" w:cs="Times New Roman"/>
          <w:lang w:val="en-US" w:eastAsia="zh-CN"/>
        </w:rPr>
        <w:t>⑨提前下达2024年学生资助补助经费预算（本专科国家助学金）项目安排预算资金</w:t>
      </w:r>
      <w:r>
        <w:rPr>
          <w:rFonts w:hint="eastAsia" w:ascii="Times New Roman" w:hAnsi="Times New Roman" w:cs="Times New Roman"/>
          <w:lang w:val="en-US" w:eastAsia="zh-CN"/>
        </w:rPr>
        <w:t>49.41</w:t>
      </w:r>
      <w:r>
        <w:rPr>
          <w:rFonts w:hint="default" w:ascii="Times New Roman" w:hAnsi="Times New Roman" w:cs="Times New Roman"/>
          <w:lang w:val="en-US" w:eastAsia="zh-CN"/>
        </w:rPr>
        <w:t>万元，项目支出</w:t>
      </w:r>
      <w:r>
        <w:rPr>
          <w:rFonts w:hint="eastAsia" w:ascii="Times New Roman" w:hAnsi="Times New Roman" w:cs="Times New Roman"/>
          <w:lang w:val="en-US" w:eastAsia="zh-CN"/>
        </w:rPr>
        <w:t>49.41</w:t>
      </w:r>
      <w:r>
        <w:rPr>
          <w:rFonts w:hint="default" w:ascii="Times New Roman" w:hAnsi="Times New Roman" w:cs="Times New Roman"/>
          <w:lang w:val="en-US" w:eastAsia="zh-CN"/>
        </w:rPr>
        <w:t>万元，结转或结余0.00万元。</w:t>
      </w:r>
    </w:p>
    <w:p w14:paraId="51AA1909">
      <w:pPr>
        <w:pageBreakBefore w:val="0"/>
        <w:widowControl w:val="0"/>
        <w:kinsoku/>
        <w:wordWrap/>
        <w:overflowPunct/>
        <w:topLinePunct w:val="0"/>
        <w:autoSpaceDE/>
        <w:autoSpaceDN/>
        <w:bidi w:val="0"/>
        <w:adjustRightInd w:val="0"/>
        <w:snapToGrid w:val="0"/>
        <w:spacing w:line="560" w:lineRule="exact"/>
        <w:textAlignment w:val="auto"/>
      </w:pPr>
      <w:r>
        <w:rPr>
          <w:rFonts w:hint="default" w:ascii="Times New Roman" w:hAnsi="Times New Roman" w:cs="Times New Roman"/>
          <w:lang w:val="en-US" w:eastAsia="zh-CN"/>
        </w:rPr>
        <w:t>我单位在项目实施过</w:t>
      </w:r>
      <w:r>
        <w:rPr>
          <w:rFonts w:hint="eastAsia" w:ascii="Times New Roman" w:hAnsi="Times New Roman" w:cs="Times New Roman"/>
          <w:lang w:val="en-US" w:eastAsia="zh-CN"/>
        </w:rPr>
        <w:t>程中</w:t>
      </w:r>
      <w:r>
        <w:rPr>
          <w:rFonts w:hint="default" w:ascii="Times New Roman" w:hAnsi="Times New Roman" w:cs="Times New Roman"/>
          <w:lang w:val="en-US" w:eastAsia="zh-CN"/>
        </w:rPr>
        <w:t>加强项目进度管理，及时跟踪项目进展，加强项目督办，充分调动职能部门的积极性，项目于2024年1月开始实施，2024年12月完成，按预定目标完成资助学生人数6878人次。通过项目的实施有效减轻了家庭经济困难学生生活负担，有效激励了学生成长成才。</w:t>
      </w:r>
    </w:p>
    <w:p w14:paraId="1F6A80EA">
      <w:pPr>
        <w:rPr>
          <w:rFonts w:hint="default" w:ascii="Times New Roman" w:hAnsi="Times New Roman" w:cs="Times New Roman"/>
          <w:lang w:val="en-US" w:eastAsia="zh-CN"/>
        </w:rPr>
      </w:pPr>
      <w:r>
        <w:rPr>
          <w:rFonts w:hint="default" w:ascii="Times New Roman" w:hAnsi="Times New Roman" w:cs="Times New Roman"/>
          <w:lang w:val="en-US" w:eastAsia="zh-CN"/>
        </w:rPr>
        <w:t>⑩2023年度地直单位引进优秀人才津贴补贴项目安排预算资金</w:t>
      </w:r>
      <w:r>
        <w:rPr>
          <w:rFonts w:hint="eastAsia" w:ascii="Times New Roman" w:hAnsi="Times New Roman" w:cs="Times New Roman"/>
          <w:lang w:val="en-US" w:eastAsia="zh-CN"/>
        </w:rPr>
        <w:t>143.62</w:t>
      </w:r>
      <w:r>
        <w:rPr>
          <w:rFonts w:hint="default" w:ascii="Times New Roman" w:hAnsi="Times New Roman" w:cs="Times New Roman"/>
          <w:lang w:val="en-US" w:eastAsia="zh-CN"/>
        </w:rPr>
        <w:t>万元，项目支出</w:t>
      </w:r>
      <w:r>
        <w:rPr>
          <w:rFonts w:hint="eastAsia" w:ascii="Times New Roman" w:hAnsi="Times New Roman" w:cs="Times New Roman"/>
          <w:lang w:val="en-US" w:eastAsia="zh-CN"/>
        </w:rPr>
        <w:t>143.62</w:t>
      </w:r>
      <w:r>
        <w:rPr>
          <w:rFonts w:hint="default" w:ascii="Times New Roman" w:hAnsi="Times New Roman" w:cs="Times New Roman"/>
          <w:lang w:val="en-US" w:eastAsia="zh-CN"/>
        </w:rPr>
        <w:t>万元，结转或结余0.00万元。</w:t>
      </w:r>
    </w:p>
    <w:p w14:paraId="7C0DC8C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lang w:val="en-US" w:eastAsia="zh-CN"/>
        </w:rPr>
        <w:t>我单位在项目实施过程加强项目进度管理，及时跟踪项目进展，加强项目督办，充分调动职能部门的积极性，项目于2024年</w:t>
      </w:r>
      <w:r>
        <w:rPr>
          <w:rFonts w:hint="eastAsia" w:ascii="Times New Roman" w:hAnsi="Times New Roman" w:cs="Times New Roman"/>
          <w:lang w:val="en-US" w:eastAsia="zh-CN"/>
        </w:rPr>
        <w:t>7</w:t>
      </w:r>
      <w:r>
        <w:rPr>
          <w:rFonts w:hint="default" w:ascii="Times New Roman" w:hAnsi="Times New Roman" w:cs="Times New Roman"/>
          <w:lang w:val="en-US" w:eastAsia="zh-CN"/>
        </w:rPr>
        <w:t>月开始实施，2024年</w:t>
      </w:r>
      <w:r>
        <w:rPr>
          <w:rFonts w:hint="eastAsia" w:ascii="Times New Roman" w:hAnsi="Times New Roman" w:cs="Times New Roman"/>
          <w:lang w:val="en-US" w:eastAsia="zh-CN"/>
        </w:rPr>
        <w:t>7</w:t>
      </w:r>
      <w:r>
        <w:rPr>
          <w:rFonts w:hint="default" w:ascii="Times New Roman" w:hAnsi="Times New Roman" w:cs="Times New Roman"/>
          <w:lang w:val="en-US" w:eastAsia="zh-CN"/>
        </w:rPr>
        <w:t>月完成，按预定目标完成</w:t>
      </w:r>
      <w:r>
        <w:rPr>
          <w:rFonts w:hint="eastAsia" w:ascii="Times New Roman" w:hAnsi="Times New Roman" w:cs="Times New Roman"/>
          <w:lang w:val="en-US" w:eastAsia="zh-CN"/>
        </w:rPr>
        <w:t>补助教师</w:t>
      </w:r>
      <w:r>
        <w:rPr>
          <w:rFonts w:hint="default" w:ascii="Times New Roman" w:hAnsi="Times New Roman" w:cs="Times New Roman"/>
          <w:lang w:val="en-US" w:eastAsia="zh-CN"/>
        </w:rPr>
        <w:t>人数</w:t>
      </w:r>
      <w:r>
        <w:rPr>
          <w:rFonts w:hint="eastAsia" w:ascii="Times New Roman" w:hAnsi="Times New Roman" w:cs="Times New Roman"/>
          <w:lang w:val="en-US" w:eastAsia="zh-CN"/>
        </w:rPr>
        <w:t>51</w:t>
      </w:r>
      <w:r>
        <w:rPr>
          <w:rFonts w:hint="default" w:ascii="Times New Roman" w:hAnsi="Times New Roman" w:cs="Times New Roman"/>
          <w:lang w:val="en-US" w:eastAsia="zh-CN"/>
        </w:rPr>
        <w:t>人次。通过项目的实施</w:t>
      </w:r>
      <w:r>
        <w:rPr>
          <w:rFonts w:hint="eastAsia" w:ascii="Times New Roman" w:hAnsi="Times New Roman" w:cs="Times New Roman"/>
          <w:lang w:val="en-US" w:eastAsia="zh-CN"/>
        </w:rPr>
        <w:t>保障了教师基本权益，</w:t>
      </w:r>
      <w:r>
        <w:rPr>
          <w:rFonts w:hint="default" w:ascii="Times New Roman" w:hAnsi="Times New Roman" w:cs="Times New Roman"/>
          <w:b w:val="0"/>
          <w:bCs w:val="0"/>
          <w:color w:val="auto"/>
          <w:lang w:val="en-US" w:eastAsia="zh-CN"/>
        </w:rPr>
        <w:t>促进了教师工作积极性</w:t>
      </w:r>
      <w:r>
        <w:rPr>
          <w:rFonts w:hint="default" w:ascii="Times New Roman" w:hAnsi="Times New Roman" w:cs="Times New Roman"/>
          <w:lang w:val="en-US" w:eastAsia="zh-CN"/>
        </w:rPr>
        <w:t>。</w:t>
      </w:r>
    </w:p>
    <w:p w14:paraId="33FE76B3">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（3）其他资金安排支出项目情况</w:t>
      </w:r>
    </w:p>
    <w:p w14:paraId="70C9095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①2022年阿克苏职业技术学院美育教育实训中心建设及援疆项目安排预算资金12.88万元，项目支出12.88万元，结转或结余0.00万元。</w:t>
      </w:r>
    </w:p>
    <w:p w14:paraId="3221BBF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5月开始实施，2024年12月完成，按预定目标完成美育教育实训中心建设，通过项目的实施，完善了教学环境，促进了校园文化交流。</w:t>
      </w:r>
    </w:p>
    <w:p w14:paraId="7753901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②</w:t>
      </w:r>
      <w:r>
        <w:rPr>
          <w:rFonts w:hint="default" w:ascii="Times New Roman" w:hAnsi="Times New Roman" w:cs="Times New Roman"/>
        </w:rPr>
        <w:t>2024年援疆资金阿克苏职业技术学院新校区智能制造实训中心</w:t>
      </w:r>
      <w:r>
        <w:rPr>
          <w:rFonts w:hint="default" w:ascii="Times New Roman" w:hAnsi="Times New Roman" w:cs="Times New Roman"/>
          <w:lang w:val="en-US" w:eastAsia="zh-CN"/>
        </w:rPr>
        <w:t>项目</w:t>
      </w:r>
      <w:r>
        <w:rPr>
          <w:rFonts w:hint="default" w:ascii="Times New Roman" w:hAnsi="Times New Roman" w:cs="Times New Roman"/>
        </w:rPr>
        <w:t>安排预算资金</w:t>
      </w:r>
      <w:r>
        <w:rPr>
          <w:rFonts w:hint="default" w:ascii="Times New Roman" w:hAnsi="Times New Roman" w:cs="Times New Roman"/>
          <w:lang w:val="en-US" w:eastAsia="zh-CN"/>
        </w:rPr>
        <w:t>1</w:t>
      </w:r>
      <w:r>
        <w:rPr>
          <w:rFonts w:hint="eastAsia" w:ascii="Times New Roman" w:hAnsi="Times New Roman" w:cs="Times New Roman"/>
          <w:lang w:val="en-US" w:eastAsia="zh-CN"/>
        </w:rPr>
        <w:t>,</w:t>
      </w:r>
      <w:r>
        <w:rPr>
          <w:rFonts w:hint="default" w:ascii="Times New Roman" w:hAnsi="Times New Roman" w:cs="Times New Roman"/>
          <w:lang w:val="en-US" w:eastAsia="zh-CN"/>
        </w:rPr>
        <w:t>013.72</w:t>
      </w:r>
      <w:r>
        <w:rPr>
          <w:rFonts w:hint="default" w:ascii="Times New Roman" w:hAnsi="Times New Roman" w:cs="Times New Roman"/>
        </w:rPr>
        <w:t>万元，项目支出</w:t>
      </w:r>
      <w:r>
        <w:rPr>
          <w:rFonts w:hint="default" w:ascii="Times New Roman" w:hAnsi="Times New Roman" w:cs="Times New Roman"/>
          <w:lang w:val="en-US" w:eastAsia="zh-CN"/>
        </w:rPr>
        <w:t>1</w:t>
      </w:r>
      <w:r>
        <w:rPr>
          <w:rFonts w:hint="eastAsia" w:ascii="Times New Roman" w:hAnsi="Times New Roman" w:cs="Times New Roman"/>
          <w:lang w:val="en-US" w:eastAsia="zh-CN"/>
        </w:rPr>
        <w:t>,</w:t>
      </w:r>
      <w:r>
        <w:rPr>
          <w:rFonts w:hint="default" w:ascii="Times New Roman" w:hAnsi="Times New Roman" w:cs="Times New Roman"/>
          <w:lang w:val="en-US" w:eastAsia="zh-CN"/>
        </w:rPr>
        <w:t>013.72</w:t>
      </w:r>
      <w:r>
        <w:rPr>
          <w:rFonts w:hint="default" w:ascii="Times New Roman" w:hAnsi="Times New Roman" w:cs="Times New Roman"/>
        </w:rPr>
        <w:t>万元</w:t>
      </w:r>
      <w:r>
        <w:rPr>
          <w:rFonts w:hint="default" w:ascii="Times New Roman" w:hAnsi="Times New Roman" w:cs="Times New Roman"/>
          <w:lang w:eastAsia="zh-CN"/>
        </w:rPr>
        <w:t>，</w:t>
      </w:r>
      <w:r>
        <w:rPr>
          <w:rFonts w:hint="default" w:ascii="Times New Roman" w:hAnsi="Times New Roman" w:cs="Times New Roman"/>
          <w:b w:val="0"/>
          <w:bCs w:val="0"/>
          <w:color w:val="auto"/>
          <w:lang w:val="en-US" w:eastAsia="zh-CN"/>
        </w:rPr>
        <w:t>结转或结余0.00万元。</w:t>
      </w:r>
    </w:p>
    <w:p w14:paraId="5063782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w:t>
      </w:r>
      <w:r>
        <w:rPr>
          <w:rFonts w:hint="default" w:ascii="Times New Roman" w:hAnsi="Times New Roman" w:cs="Times New Roman"/>
        </w:rPr>
        <w:t>开展学院</w:t>
      </w:r>
      <w:r>
        <w:rPr>
          <w:rFonts w:hint="eastAsia" w:ascii="Times New Roman" w:hAnsi="Times New Roman" w:cs="Times New Roman"/>
          <w:lang w:eastAsia="zh-CN"/>
        </w:rPr>
        <w:t>智能制造</w:t>
      </w:r>
      <w:r>
        <w:rPr>
          <w:rFonts w:hint="default" w:ascii="Times New Roman" w:hAnsi="Times New Roman" w:cs="Times New Roman"/>
        </w:rPr>
        <w:t>实训中心建设，</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保障了</w:t>
      </w:r>
      <w:r>
        <w:rPr>
          <w:rFonts w:hint="eastAsia" w:ascii="Times New Roman" w:hAnsi="Times New Roman" w:cs="Times New Roman"/>
          <w:lang w:eastAsia="zh-CN"/>
        </w:rPr>
        <w:t>智能制造</w:t>
      </w:r>
      <w:r>
        <w:rPr>
          <w:rFonts w:hint="default" w:ascii="Times New Roman" w:hAnsi="Times New Roman" w:cs="Times New Roman"/>
        </w:rPr>
        <w:t>实训中心建设有序开展，完善了学院基础设施建设。</w:t>
      </w:r>
    </w:p>
    <w:p w14:paraId="329A2471">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③2024年援疆资金第八届“浙阿匠心杯”阿克苏地区暨兵团第一师职业院校技能大赛项目安排预算资金64.84万元，项目支出64.84万元，结转或结余0.00万元。</w:t>
      </w:r>
    </w:p>
    <w:p w14:paraId="4B79CF95">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我单位在项目实施过程加强项目进度管理，及时跟踪项目进展，加强项目督办，充分调动职能部门的积极性，项目于2024年9月开始实施，2024年12月完成，按预定目标完成</w:t>
      </w:r>
      <w:r>
        <w:rPr>
          <w:rFonts w:hint="default" w:ascii="Times New Roman" w:hAnsi="Times New Roman" w:cs="Times New Roman"/>
        </w:rPr>
        <w:t>开展了浙阿匠心杯技能大赛</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推动了浙阿文化交流合作，促进了双方院校的发展和进步。</w:t>
      </w:r>
    </w:p>
    <w:p w14:paraId="3B77D6F2">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④2023年财政专户结余资金项目安排预算资金1</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lang w:val="en-US" w:eastAsia="zh-CN"/>
        </w:rPr>
        <w:t>004.25万元，项目支出1</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lang w:val="en-US" w:eastAsia="zh-CN"/>
        </w:rPr>
        <w:t>004.25万元，结转或结余0.00万元。</w:t>
      </w:r>
    </w:p>
    <w:p w14:paraId="3450F353">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我单位在项目实施过程加强项目进度管理，及时跟踪项目进展，加强项目督办，充分调动职能部门的积极性，项目于2024年1月开始实施，2024年12月完成，按预定目标完成了</w:t>
      </w:r>
      <w:r>
        <w:rPr>
          <w:rFonts w:hint="default" w:ascii="Times New Roman" w:hAnsi="Times New Roman" w:cs="Times New Roman"/>
        </w:rPr>
        <w:t>2024年高等教师评审专家费用</w:t>
      </w:r>
      <w:r>
        <w:rPr>
          <w:rFonts w:hint="default" w:ascii="Times New Roman" w:hAnsi="Times New Roman" w:cs="Times New Roman"/>
          <w:lang w:val="en-US" w:eastAsia="zh-CN"/>
        </w:rPr>
        <w:t>及</w:t>
      </w:r>
      <w:r>
        <w:rPr>
          <w:rFonts w:hint="default" w:ascii="Times New Roman" w:hAnsi="Times New Roman" w:cs="Times New Roman"/>
          <w:lang w:eastAsia="zh-CN"/>
        </w:rPr>
        <w:t>职业能力认定督导费考评费阅卷费</w:t>
      </w:r>
      <w:r>
        <w:rPr>
          <w:rFonts w:hint="default" w:ascii="Times New Roman" w:hAnsi="Times New Roman" w:cs="Times New Roman"/>
          <w:lang w:val="en-US" w:eastAsia="zh-CN"/>
        </w:rPr>
        <w:t>的发放工作，</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lang w:val="en-US" w:eastAsia="zh-CN"/>
        </w:rPr>
        <w:t>有效提高了教职工工作的积极性，保障教学活动正常有序开展。</w:t>
      </w:r>
    </w:p>
    <w:p w14:paraId="744B9CA5">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⑤</w:t>
      </w:r>
      <w:r>
        <w:rPr>
          <w:rFonts w:hint="default" w:ascii="Times New Roman" w:hAnsi="Times New Roman" w:cs="Times New Roman"/>
        </w:rPr>
        <w:t>培训及科研项目安排预算资金</w:t>
      </w:r>
      <w:r>
        <w:rPr>
          <w:rFonts w:hint="default" w:ascii="Times New Roman" w:hAnsi="Times New Roman" w:cs="Times New Roman"/>
          <w:lang w:val="en-US" w:eastAsia="zh-CN"/>
        </w:rPr>
        <w:t>435.86</w:t>
      </w:r>
      <w:r>
        <w:rPr>
          <w:rFonts w:hint="default" w:ascii="Times New Roman" w:hAnsi="Times New Roman" w:cs="Times New Roman"/>
        </w:rPr>
        <w:t>万元，项目支出</w:t>
      </w:r>
      <w:r>
        <w:rPr>
          <w:rFonts w:hint="default" w:ascii="Times New Roman" w:hAnsi="Times New Roman" w:cs="Times New Roman"/>
          <w:lang w:val="en-US" w:eastAsia="zh-CN"/>
        </w:rPr>
        <w:t>383.93</w:t>
      </w:r>
      <w:r>
        <w:rPr>
          <w:rFonts w:hint="default" w:ascii="Times New Roman" w:hAnsi="Times New Roman" w:cs="Times New Roman"/>
        </w:rPr>
        <w:t>万元，结转或结余</w:t>
      </w:r>
      <w:r>
        <w:rPr>
          <w:rFonts w:hint="default" w:ascii="Times New Roman" w:hAnsi="Times New Roman" w:cs="Times New Roman"/>
          <w:lang w:val="en-US" w:eastAsia="zh-CN"/>
        </w:rPr>
        <w:t>51.93</w:t>
      </w:r>
      <w:r>
        <w:rPr>
          <w:rFonts w:hint="default" w:ascii="Times New Roman" w:hAnsi="Times New Roman" w:cs="Times New Roman"/>
        </w:rPr>
        <w:t>万元。</w:t>
      </w:r>
    </w:p>
    <w:p w14:paraId="5425ECD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b w:val="0"/>
          <w:bCs w:val="0"/>
          <w:color w:val="auto"/>
          <w:lang w:val="en-US" w:eastAsia="zh-CN"/>
        </w:rPr>
        <w:t>我单位在项目实施过</w:t>
      </w:r>
      <w:r>
        <w:rPr>
          <w:rFonts w:hint="eastAsia" w:ascii="Times New Roman" w:hAnsi="Times New Roman" w:cs="Times New Roman"/>
          <w:b w:val="0"/>
          <w:bCs w:val="0"/>
          <w:color w:val="auto"/>
          <w:lang w:val="en-US" w:eastAsia="zh-CN"/>
        </w:rPr>
        <w:t>程中</w:t>
      </w:r>
      <w:r>
        <w:rPr>
          <w:rFonts w:hint="default" w:ascii="Times New Roman" w:hAnsi="Times New Roman" w:cs="Times New Roman"/>
          <w:b w:val="0"/>
          <w:bCs w:val="0"/>
          <w:color w:val="auto"/>
          <w:lang w:val="en-US" w:eastAsia="zh-CN"/>
        </w:rPr>
        <w:t>加强项目进度管理，及时跟踪项目进展，加强项目督办，充分调动职能部门的积极性，项目于2024年1月开始实施，2024年12月完成，按预定目标完成了</w:t>
      </w:r>
      <w:r>
        <w:rPr>
          <w:rFonts w:hint="default" w:ascii="Times New Roman" w:hAnsi="Times New Roman" w:cs="Times New Roman"/>
        </w:rPr>
        <w:t>学院一年中各类培训活动的开展，</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为学院各课题组开展科研活动提供了资金保障。保障了学院教育教学工作的正常开展。</w:t>
      </w:r>
    </w:p>
    <w:p w14:paraId="0BFA5AF5">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⑥创新创业大赛项目</w:t>
      </w:r>
      <w:r>
        <w:rPr>
          <w:rFonts w:hint="default" w:ascii="Times New Roman" w:hAnsi="Times New Roman" w:cs="Times New Roman"/>
        </w:rPr>
        <w:t>安排预算资金</w:t>
      </w:r>
      <w:r>
        <w:rPr>
          <w:rFonts w:hint="default" w:ascii="Times New Roman" w:hAnsi="Times New Roman" w:cs="Times New Roman"/>
          <w:lang w:val="en-US" w:eastAsia="zh-CN"/>
        </w:rPr>
        <w:t>21.90</w:t>
      </w:r>
      <w:r>
        <w:rPr>
          <w:rFonts w:hint="default" w:ascii="Times New Roman" w:hAnsi="Times New Roman" w:cs="Times New Roman"/>
        </w:rPr>
        <w:t>万元，项目支出</w:t>
      </w:r>
      <w:r>
        <w:rPr>
          <w:rFonts w:hint="default" w:ascii="Times New Roman" w:hAnsi="Times New Roman" w:cs="Times New Roman"/>
          <w:lang w:val="en-US" w:eastAsia="zh-CN"/>
        </w:rPr>
        <w:t>21.90</w:t>
      </w:r>
      <w:r>
        <w:rPr>
          <w:rFonts w:hint="default" w:ascii="Times New Roman" w:hAnsi="Times New Roman" w:cs="Times New Roman"/>
        </w:rPr>
        <w:t>万元，结转或结余</w:t>
      </w:r>
      <w:r>
        <w:rPr>
          <w:rFonts w:hint="default" w:ascii="Times New Roman" w:hAnsi="Times New Roman" w:cs="Times New Roman"/>
          <w:lang w:val="en-US" w:eastAsia="zh-CN"/>
        </w:rPr>
        <w:t>0.00</w:t>
      </w:r>
      <w:r>
        <w:rPr>
          <w:rFonts w:hint="default" w:ascii="Times New Roman" w:hAnsi="Times New Roman" w:cs="Times New Roman"/>
        </w:rPr>
        <w:t>万元。</w:t>
      </w:r>
    </w:p>
    <w:p w14:paraId="5605CC7E">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举办校园招聘活动，聘请专家开展毕业生就业创业专题讲座</w:t>
      </w:r>
      <w:r>
        <w:rPr>
          <w:rFonts w:hint="default" w:ascii="Times New Roman" w:hAnsi="Times New Roman" w:cs="Times New Roman"/>
        </w:rPr>
        <w:t>，</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为</w:t>
      </w:r>
      <w:r>
        <w:rPr>
          <w:rFonts w:hint="default" w:ascii="Times New Roman" w:hAnsi="Times New Roman" w:cs="Times New Roman"/>
          <w:lang w:val="en-US" w:eastAsia="zh-CN"/>
        </w:rPr>
        <w:t>学院毕业生提供更多就业创业机会，</w:t>
      </w:r>
      <w:r>
        <w:rPr>
          <w:rFonts w:hint="default" w:ascii="Times New Roman" w:hAnsi="Times New Roman" w:cs="Times New Roman"/>
        </w:rPr>
        <w:t>保障了学院教育教学工作的正常开展。</w:t>
      </w:r>
    </w:p>
    <w:p w14:paraId="7F1C1BF4">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⑦技能大赛补贴项目</w:t>
      </w:r>
      <w:r>
        <w:rPr>
          <w:rFonts w:hint="default" w:ascii="Times New Roman" w:hAnsi="Times New Roman" w:cs="Times New Roman"/>
        </w:rPr>
        <w:t>安排预算资金</w:t>
      </w:r>
      <w:r>
        <w:rPr>
          <w:rFonts w:hint="default" w:ascii="Times New Roman" w:hAnsi="Times New Roman" w:cs="Times New Roman"/>
          <w:lang w:val="en-US" w:eastAsia="zh-CN"/>
        </w:rPr>
        <w:t>52.97</w:t>
      </w:r>
      <w:r>
        <w:rPr>
          <w:rFonts w:hint="default" w:ascii="Times New Roman" w:hAnsi="Times New Roman" w:cs="Times New Roman"/>
        </w:rPr>
        <w:t>万元，项目支出</w:t>
      </w:r>
      <w:r>
        <w:rPr>
          <w:rFonts w:hint="default" w:ascii="Times New Roman" w:hAnsi="Times New Roman" w:cs="Times New Roman"/>
          <w:lang w:val="en-US" w:eastAsia="zh-CN"/>
        </w:rPr>
        <w:t>52.97</w:t>
      </w:r>
      <w:r>
        <w:rPr>
          <w:rFonts w:hint="default" w:ascii="Times New Roman" w:hAnsi="Times New Roman" w:cs="Times New Roman"/>
        </w:rPr>
        <w:t>万元，结转或结余</w:t>
      </w:r>
      <w:r>
        <w:rPr>
          <w:rFonts w:hint="default" w:ascii="Times New Roman" w:hAnsi="Times New Roman" w:cs="Times New Roman"/>
          <w:lang w:val="en-US" w:eastAsia="zh-CN"/>
        </w:rPr>
        <w:t>0.00</w:t>
      </w:r>
      <w:r>
        <w:rPr>
          <w:rFonts w:hint="default" w:ascii="Times New Roman" w:hAnsi="Times New Roman" w:cs="Times New Roman"/>
        </w:rPr>
        <w:t>万元。</w:t>
      </w:r>
    </w:p>
    <w:p w14:paraId="708DF548">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发放技能大赛参赛人员指导教师及获奖学生奖励</w:t>
      </w:r>
      <w:r>
        <w:rPr>
          <w:rFonts w:hint="default" w:ascii="Times New Roman" w:hAnsi="Times New Roman" w:cs="Times New Roman"/>
        </w:rPr>
        <w:t>，</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为学院</w:t>
      </w:r>
      <w:r>
        <w:rPr>
          <w:rFonts w:hint="default" w:ascii="Times New Roman" w:hAnsi="Times New Roman" w:cs="Times New Roman"/>
          <w:lang w:val="en-US" w:eastAsia="zh-CN"/>
        </w:rPr>
        <w:t>各类比赛</w:t>
      </w:r>
      <w:r>
        <w:rPr>
          <w:rFonts w:hint="default" w:ascii="Times New Roman" w:hAnsi="Times New Roman" w:cs="Times New Roman"/>
        </w:rPr>
        <w:t>活动提供了资金保障。保障了学院教育教学工作的正常开展。</w:t>
      </w:r>
    </w:p>
    <w:p w14:paraId="4369004D">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b w:val="0"/>
          <w:bCs w:val="0"/>
          <w:color w:val="auto"/>
          <w:lang w:val="en-US" w:eastAsia="zh-CN"/>
        </w:rPr>
        <w:t>⑧学院发展项目及工会项目</w:t>
      </w:r>
      <w:r>
        <w:rPr>
          <w:rFonts w:hint="default" w:ascii="Times New Roman" w:hAnsi="Times New Roman" w:cs="Times New Roman"/>
        </w:rPr>
        <w:t>安排预算资金</w:t>
      </w:r>
      <w:r>
        <w:rPr>
          <w:rFonts w:hint="default" w:ascii="Times New Roman" w:hAnsi="Times New Roman" w:cs="Times New Roman"/>
          <w:lang w:val="en-US" w:eastAsia="zh-CN"/>
        </w:rPr>
        <w:t>226.68</w:t>
      </w:r>
      <w:r>
        <w:rPr>
          <w:rFonts w:hint="default" w:ascii="Times New Roman" w:hAnsi="Times New Roman" w:cs="Times New Roman"/>
        </w:rPr>
        <w:t>万元，项目支出</w:t>
      </w:r>
      <w:r>
        <w:rPr>
          <w:rFonts w:hint="default" w:ascii="Times New Roman" w:hAnsi="Times New Roman" w:cs="Times New Roman"/>
          <w:lang w:val="en-US" w:eastAsia="zh-CN"/>
        </w:rPr>
        <w:t>192.23</w:t>
      </w:r>
      <w:r>
        <w:rPr>
          <w:rFonts w:hint="default" w:ascii="Times New Roman" w:hAnsi="Times New Roman" w:cs="Times New Roman"/>
        </w:rPr>
        <w:t>万元，结转或结余</w:t>
      </w:r>
      <w:r>
        <w:rPr>
          <w:rFonts w:hint="default" w:ascii="Times New Roman" w:hAnsi="Times New Roman" w:cs="Times New Roman"/>
          <w:lang w:val="en-US" w:eastAsia="zh-CN"/>
        </w:rPr>
        <w:t>34.45</w:t>
      </w:r>
      <w:r>
        <w:rPr>
          <w:rFonts w:hint="default" w:ascii="Times New Roman" w:hAnsi="Times New Roman" w:cs="Times New Roman"/>
        </w:rPr>
        <w:t>万元。</w:t>
      </w:r>
    </w:p>
    <w:p w14:paraId="3F6D9E5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我单位在项目实施过程加强项目进度管理，及时跟踪项目进展，加强项目督办，充分调动职能部门的积极性，项目于2024年1月开始实施，2024年12月完成，按预定目标完成</w:t>
      </w:r>
      <w:r>
        <w:rPr>
          <w:rFonts w:hint="default" w:ascii="Times New Roman" w:hAnsi="Times New Roman" w:cs="Times New Roman"/>
        </w:rPr>
        <w:t>购置实验实训耗材及设备、校园文化建设物资。</w:t>
      </w:r>
      <w:r>
        <w:rPr>
          <w:rFonts w:hint="default" w:ascii="Times New Roman" w:hAnsi="Times New Roman" w:cs="Times New Roman"/>
          <w:b w:val="0"/>
          <w:bCs w:val="0"/>
          <w:color w:val="auto"/>
          <w:lang w:val="en-US" w:eastAsia="zh-CN"/>
        </w:rPr>
        <w:t>通过项目的实施，</w:t>
      </w:r>
      <w:r>
        <w:rPr>
          <w:rFonts w:hint="default" w:ascii="Times New Roman" w:hAnsi="Times New Roman" w:cs="Times New Roman"/>
        </w:rPr>
        <w:t>提升了学生实训操作能力</w:t>
      </w:r>
      <w:r>
        <w:rPr>
          <w:rFonts w:hint="default" w:ascii="Times New Roman" w:hAnsi="Times New Roman" w:cs="Times New Roman"/>
          <w:lang w:eastAsia="zh-CN"/>
        </w:rPr>
        <w:t>，</w:t>
      </w:r>
      <w:r>
        <w:rPr>
          <w:rFonts w:hint="default" w:ascii="Times New Roman" w:hAnsi="Times New Roman" w:cs="Times New Roman"/>
        </w:rPr>
        <w:t>保障了学院教育教学工作的正常开展。</w:t>
      </w:r>
    </w:p>
    <w:p w14:paraId="5C156C99">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3.</w:t>
      </w:r>
      <w:r>
        <w:rPr>
          <w:rFonts w:hint="default" w:ascii="Times New Roman" w:hAnsi="Times New Roman" w:cs="Times New Roman"/>
          <w:lang w:val="en-US" w:eastAsia="zh-CN"/>
        </w:rPr>
        <w:t>项目管理情况</w:t>
      </w:r>
    </w:p>
    <w:p w14:paraId="1C4B0E7D">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（1）管理制度健全性</w:t>
      </w:r>
    </w:p>
    <w:p w14:paraId="59AB1536">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单位从预算管理、收支管理、资产管理、政府采购管理、基本建设管理、合同管理等方面，健全和完善单位各项管理制度、坚定实施各项内部控制制度；为加强预算管理，规范财务行为，已制定《阿克苏职业技术学院财务报销管理办法》《阿克苏职业技术学院政府采购内控制度》《阿克苏职业技术学院内部审计工作规定》等健全完整的各项管理制度，有效保障了我单位</w:t>
      </w:r>
      <w:r>
        <w:rPr>
          <w:rFonts w:hint="default" w:ascii="Times New Roman" w:hAnsi="Times New Roman" w:cs="Times New Roman"/>
          <w:bCs/>
          <w:sz w:val="32"/>
          <w:szCs w:val="32"/>
          <w:lang w:eastAsia="zh-CN"/>
        </w:rPr>
        <w:t>高效地</w:t>
      </w:r>
      <w:r>
        <w:rPr>
          <w:rFonts w:hint="default" w:ascii="Times New Roman" w:hAnsi="Times New Roman" w:eastAsia="仿宋_GB2312" w:cs="Times New Roman"/>
          <w:bCs/>
          <w:sz w:val="32"/>
          <w:szCs w:val="32"/>
        </w:rPr>
        <w:t>履行工作职能，较好</w:t>
      </w:r>
      <w:r>
        <w:rPr>
          <w:rFonts w:hint="default" w:ascii="Times New Roman" w:hAnsi="Times New Roman" w:cs="Times New Roman"/>
          <w:bCs/>
          <w:sz w:val="32"/>
          <w:szCs w:val="32"/>
          <w:lang w:eastAsia="zh-CN"/>
        </w:rPr>
        <w:t>地</w:t>
      </w:r>
      <w:r>
        <w:rPr>
          <w:rFonts w:hint="default" w:ascii="Times New Roman" w:hAnsi="Times New Roman" w:eastAsia="仿宋_GB2312" w:cs="Times New Roman"/>
          <w:bCs/>
          <w:sz w:val="32"/>
          <w:szCs w:val="32"/>
        </w:rPr>
        <w:t>促进事业发展。</w:t>
      </w:r>
    </w:p>
    <w:p w14:paraId="52F5916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（2）资金使用合规性和安全性</w:t>
      </w:r>
    </w:p>
    <w:p w14:paraId="3E5D0E8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FF0000"/>
        </w:rPr>
      </w:pPr>
      <w:r>
        <w:rPr>
          <w:rFonts w:hint="default" w:ascii="Times New Roman" w:hAnsi="Times New Roman" w:cs="Times New Roman"/>
          <w:color w:val="auto"/>
          <w:lang w:val="en-US" w:eastAsia="zh-CN"/>
        </w:rPr>
        <w:t>项目资金使用严格按照单位审批权限及相关专项资金管理办法要求执行项目资金，实行专账核算、逐级审批；认真落实项目资金使用各项管理制度，确保专款专用，及时拨付到位。各项目资金预算编制依据充分，预算编制准确，资金不存在截留、挪用，支付审批合规、不存在用途改变、范围超支和虚列项目支出等情况。在本年度各级审计和财政监督检查中未发现资金使用合规性问题。</w:t>
      </w:r>
    </w:p>
    <w:p w14:paraId="001C01FD">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（五）其中重要支出事项</w:t>
      </w:r>
    </w:p>
    <w:p w14:paraId="7A0DE0A6">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w:t>
      </w:r>
      <w:r>
        <w:rPr>
          <w:rFonts w:hint="default" w:ascii="Times New Roman" w:hAnsi="Times New Roman" w:cs="Times New Roman"/>
          <w:lang w:val="en-US" w:eastAsia="zh-CN"/>
        </w:rPr>
        <w:t>“三公”经费</w:t>
      </w:r>
      <w:r>
        <w:rPr>
          <w:rFonts w:hint="default" w:ascii="Times New Roman" w:hAnsi="Times New Roman" w:eastAsia="仿宋_GB2312" w:cs="Times New Roman"/>
          <w:lang w:val="en-US" w:eastAsia="zh-CN"/>
        </w:rPr>
        <w:t>控制情况</w:t>
      </w:r>
    </w:p>
    <w:p w14:paraId="770840FA">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2024年</w:t>
      </w:r>
      <w:r>
        <w:rPr>
          <w:rFonts w:hint="default" w:ascii="Times New Roman" w:hAnsi="Times New Roman" w:cs="Times New Roman"/>
          <w:color w:val="auto"/>
          <w:lang w:val="en-US" w:eastAsia="zh-CN"/>
        </w:rPr>
        <w:t>本单位财政拨款未安排“三公”经费预算。</w:t>
      </w:r>
    </w:p>
    <w:p w14:paraId="2F190932">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2.政府采购执行情况</w:t>
      </w:r>
    </w:p>
    <w:p w14:paraId="56280C84">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2024年我单位政府采购预算数为37</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429.11万元，实际政府采购执行数为</w:t>
      </w:r>
      <w:r>
        <w:rPr>
          <w:rFonts w:hint="eastAsia" w:ascii="Times New Roman" w:hAnsi="Times New Roman" w:cs="Times New Roman"/>
          <w:color w:val="auto"/>
          <w:lang w:val="en-US" w:eastAsia="zh-CN"/>
        </w:rPr>
        <w:t>3,236.84</w:t>
      </w:r>
      <w:r>
        <w:rPr>
          <w:rFonts w:hint="default" w:ascii="Times New Roman" w:hAnsi="Times New Roman" w:cs="Times New Roman"/>
          <w:color w:val="auto"/>
          <w:lang w:val="en-US" w:eastAsia="zh-CN"/>
        </w:rPr>
        <w:t>万元，政府采购执行率为</w:t>
      </w:r>
      <w:r>
        <w:rPr>
          <w:rFonts w:hint="eastAsia" w:ascii="Times New Roman" w:hAnsi="Times New Roman" w:cs="Times New Roman"/>
          <w:color w:val="auto"/>
          <w:lang w:val="en-US" w:eastAsia="zh-CN"/>
        </w:rPr>
        <w:t>8.65</w:t>
      </w:r>
      <w:r>
        <w:rPr>
          <w:rFonts w:hint="default" w:ascii="Times New Roman" w:hAnsi="Times New Roman" w:cs="Times New Roman"/>
          <w:color w:val="auto"/>
          <w:lang w:val="en-US" w:eastAsia="zh-CN"/>
        </w:rPr>
        <w:t>%。主要原因为</w:t>
      </w:r>
      <w:r>
        <w:rPr>
          <w:rFonts w:hint="eastAsia" w:ascii="Times New Roman" w:hAnsi="Times New Roman" w:cs="Times New Roman"/>
          <w:color w:val="auto"/>
          <w:lang w:val="en-US" w:eastAsia="zh-CN"/>
        </w:rPr>
        <w:t>采购预算编制未细化，执行时缺乏可操作性；部门沟通与信息传递受阻，工作衔接不畅；采购程序运行不灵活，对突发或紧急采购需求缺乏灵活应对机制</w:t>
      </w:r>
      <w:r>
        <w:rPr>
          <w:rFonts w:hint="default" w:ascii="Times New Roman" w:hAnsi="Times New Roman" w:cs="Times New Roman"/>
          <w:color w:val="auto"/>
          <w:lang w:val="en-US" w:eastAsia="zh-CN"/>
        </w:rPr>
        <w:t>。</w:t>
      </w:r>
    </w:p>
    <w:bookmarkEnd w:id="2"/>
    <w:p w14:paraId="2FC3FEF0">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lang w:val="en-US" w:eastAsia="zh-CN"/>
        </w:rPr>
      </w:pPr>
      <w:bookmarkStart w:id="3" w:name="_Toc13582_WPSOffice_Level1"/>
      <w:r>
        <w:rPr>
          <w:rFonts w:hint="default" w:ascii="Times New Roman" w:hAnsi="Times New Roman" w:cs="Times New Roman"/>
          <w:lang w:val="en-US" w:eastAsia="zh-CN"/>
        </w:rPr>
        <w:t>三、</w:t>
      </w:r>
      <w:r>
        <w:rPr>
          <w:rFonts w:hint="default" w:ascii="Times New Roman" w:hAnsi="Times New Roman" w:cs="Times New Roman"/>
        </w:rPr>
        <w:t>部门单位整体支出绩效</w:t>
      </w:r>
      <w:bookmarkEnd w:id="3"/>
      <w:r>
        <w:rPr>
          <w:rFonts w:hint="default" w:ascii="Times New Roman" w:hAnsi="Times New Roman" w:cs="Times New Roman"/>
          <w:lang w:val="en-US" w:eastAsia="zh-CN"/>
        </w:rPr>
        <w:t>分析</w:t>
      </w:r>
    </w:p>
    <w:p w14:paraId="7EF409A7">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r>
        <w:rPr>
          <w:rFonts w:hint="default" w:ascii="Times New Roman" w:hAnsi="Times New Roman" w:cs="Times New Roman"/>
          <w:lang w:eastAsia="zh-CN"/>
        </w:rPr>
        <w:t>我</w:t>
      </w:r>
      <w:r>
        <w:rPr>
          <w:rFonts w:hint="default" w:ascii="Times New Roman" w:hAnsi="Times New Roman" w:cs="Times New Roman"/>
        </w:rPr>
        <w:t>单位202</w:t>
      </w:r>
      <w:r>
        <w:rPr>
          <w:rFonts w:hint="default" w:ascii="Times New Roman" w:hAnsi="Times New Roman" w:cs="Times New Roman"/>
          <w:lang w:val="en-US" w:eastAsia="zh-CN"/>
        </w:rPr>
        <w:t>4</w:t>
      </w:r>
      <w:r>
        <w:rPr>
          <w:rFonts w:hint="default" w:ascii="Times New Roman" w:hAnsi="Times New Roman" w:cs="Times New Roman"/>
        </w:rPr>
        <w:t>年度部门整体支出绩效目标，</w:t>
      </w:r>
      <w:r>
        <w:rPr>
          <w:rFonts w:hint="default" w:ascii="Times New Roman" w:hAnsi="Times New Roman" w:cs="Times New Roman"/>
          <w:lang w:val="en-US" w:eastAsia="zh-CN"/>
        </w:rPr>
        <w:t>围绕</w:t>
      </w:r>
      <w:r>
        <w:rPr>
          <w:rFonts w:hint="default" w:ascii="Times New Roman" w:hAnsi="Times New Roman" w:cs="Times New Roman"/>
        </w:rPr>
        <w:t>部门职能、中长期规划、年度工作计划、重点工作任务及要求，确定年度部门整体支出的绩效目标，按照确定的部门职责履行情况、部门运行有效情况及部门职能</w:t>
      </w:r>
      <w:r>
        <w:rPr>
          <w:rFonts w:hint="default" w:ascii="Times New Roman" w:hAnsi="Times New Roman" w:cs="Times New Roman"/>
          <w:lang w:val="en-US" w:eastAsia="zh-CN"/>
        </w:rPr>
        <w:t>设置具体的指标</w:t>
      </w:r>
      <w:r>
        <w:rPr>
          <w:rFonts w:hint="default" w:ascii="Times New Roman" w:hAnsi="Times New Roman" w:cs="Times New Roman"/>
        </w:rPr>
        <w:t>。</w:t>
      </w:r>
      <w:r>
        <w:rPr>
          <w:rFonts w:hint="default" w:ascii="Times New Roman" w:hAnsi="Times New Roman" w:cs="Times New Roman"/>
          <w:lang w:val="en-US" w:eastAsia="zh-CN"/>
        </w:rPr>
        <w:t>拟</w:t>
      </w:r>
      <w:r>
        <w:rPr>
          <w:rFonts w:hint="default" w:ascii="Times New Roman" w:hAnsi="Times New Roman" w:cs="Times New Roman"/>
        </w:rPr>
        <w:t>通过绩效评价分析部门整体支出对单位基本运转及单位职能履职的保障作用，总结经验做法，找出资金使用和管理中的薄弱环节，进一步加强预算管理，提高财政资金使用效益，为部门科学决策、规范管理提供参考。</w:t>
      </w:r>
    </w:p>
    <w:p w14:paraId="1C6B6770">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rPr>
        <w:t>部门单位整体支出</w:t>
      </w:r>
      <w:r>
        <w:rPr>
          <w:rFonts w:hint="default" w:ascii="Times New Roman" w:hAnsi="Times New Roman" w:cs="Times New Roman"/>
          <w:lang w:eastAsia="zh-CN"/>
        </w:rPr>
        <w:t>自评表，</w:t>
      </w:r>
      <w:r>
        <w:rPr>
          <w:rFonts w:hint="default" w:ascii="Times New Roman" w:hAnsi="Times New Roman" w:cs="Times New Roman"/>
        </w:rPr>
        <w:t>共设置一级指标</w:t>
      </w:r>
      <w:r>
        <w:rPr>
          <w:rFonts w:hint="default" w:ascii="Times New Roman" w:hAnsi="Times New Roman" w:cs="Times New Roman"/>
          <w:lang w:val="en-US" w:eastAsia="zh-CN"/>
        </w:rPr>
        <w:t>2</w:t>
      </w:r>
      <w:r>
        <w:rPr>
          <w:rFonts w:hint="default" w:ascii="Times New Roman" w:hAnsi="Times New Roman" w:cs="Times New Roman"/>
        </w:rPr>
        <w:t>个，二级指标</w:t>
      </w:r>
      <w:r>
        <w:rPr>
          <w:rFonts w:hint="default" w:ascii="Times New Roman" w:hAnsi="Times New Roman" w:cs="Times New Roman"/>
          <w:lang w:val="en-US" w:eastAsia="zh-CN"/>
        </w:rPr>
        <w:t>3</w:t>
      </w:r>
      <w:r>
        <w:rPr>
          <w:rFonts w:hint="default" w:ascii="Times New Roman" w:hAnsi="Times New Roman" w:cs="Times New Roman"/>
        </w:rPr>
        <w:t>个，三级指标</w:t>
      </w:r>
      <w:r>
        <w:rPr>
          <w:rFonts w:hint="default" w:ascii="Times New Roman" w:hAnsi="Times New Roman" w:cs="Times New Roman"/>
          <w:lang w:val="en-US" w:eastAsia="zh-CN"/>
        </w:rPr>
        <w:t>5</w:t>
      </w:r>
      <w:r>
        <w:rPr>
          <w:rFonts w:hint="default" w:ascii="Times New Roman" w:hAnsi="Times New Roman" w:cs="Times New Roman"/>
        </w:rPr>
        <w:t>个</w:t>
      </w:r>
      <w:r>
        <w:rPr>
          <w:rFonts w:hint="default" w:ascii="Times New Roman" w:hAnsi="Times New Roman" w:cs="Times New Roman"/>
          <w:lang w:eastAsia="zh-CN"/>
        </w:rPr>
        <w:t>，其中已完成三级指标</w:t>
      </w:r>
      <w:r>
        <w:rPr>
          <w:rFonts w:hint="default" w:ascii="Times New Roman" w:hAnsi="Times New Roman" w:cs="Times New Roman"/>
          <w:lang w:val="en-US" w:eastAsia="zh-CN"/>
        </w:rPr>
        <w:t>5</w:t>
      </w:r>
      <w:r>
        <w:rPr>
          <w:rFonts w:hint="default" w:ascii="Times New Roman" w:hAnsi="Times New Roman" w:cs="Times New Roman"/>
          <w:lang w:eastAsia="zh-CN"/>
        </w:rPr>
        <w:t>个，指标完成率为</w:t>
      </w:r>
      <w:r>
        <w:rPr>
          <w:rFonts w:hint="default" w:ascii="Times New Roman" w:hAnsi="Times New Roman" w:cs="Times New Roman"/>
          <w:lang w:val="en-US" w:eastAsia="zh-CN"/>
        </w:rPr>
        <w:t>100.00</w:t>
      </w:r>
      <w:r>
        <w:rPr>
          <w:rFonts w:hint="default" w:ascii="Times New Roman" w:hAnsi="Times New Roman" w:cs="Times New Roman"/>
          <w:lang w:eastAsia="zh-CN"/>
        </w:rPr>
        <w:t>%</w:t>
      </w:r>
      <w:r>
        <w:rPr>
          <w:rFonts w:hint="default" w:ascii="Times New Roman" w:hAnsi="Times New Roman" w:cs="Times New Roman"/>
        </w:rPr>
        <w:t>。部门整体支出绩效情况如下</w:t>
      </w:r>
      <w:r>
        <w:rPr>
          <w:rFonts w:hint="default" w:ascii="Times New Roman" w:hAnsi="Times New Roman" w:cs="Times New Roman"/>
          <w:lang w:val="en-US" w:eastAsia="zh-CN"/>
        </w:rPr>
        <w:t>：</w:t>
      </w:r>
    </w:p>
    <w:p w14:paraId="77E2A090">
      <w:pPr>
        <w:pStyle w:val="3"/>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一）“增设新专业数量（个）”</w:t>
      </w:r>
      <w:r>
        <w:rPr>
          <w:rFonts w:hint="default" w:ascii="Times New Roman" w:hAnsi="Times New Roman" w:cs="Times New Roman"/>
        </w:rPr>
        <w:t>指标完成情况分析</w:t>
      </w:r>
    </w:p>
    <w:p w14:paraId="45DA446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“增设新专业数量（个）”指标年初设定目标是“</w:t>
      </w:r>
      <w:r>
        <w:rPr>
          <w:rFonts w:hint="eastAsia" w:ascii="Times New Roman" w:hAnsi="Times New Roman" w:cs="Times New Roman"/>
          <w:lang w:val="en-US" w:eastAsia="zh-CN"/>
        </w:rPr>
        <w:t>≥</w:t>
      </w:r>
      <w:r>
        <w:rPr>
          <w:rFonts w:hint="default" w:ascii="Times New Roman" w:hAnsi="Times New Roman" w:cs="Times New Roman"/>
          <w:lang w:val="en-US" w:eastAsia="zh-CN"/>
        </w:rPr>
        <w:t>3”；年中绩效运行监控时完成值“=0”，偏差原因是：</w:t>
      </w:r>
      <w:r>
        <w:rPr>
          <w:rFonts w:hint="default" w:ascii="Times New Roman" w:hAnsi="Times New Roman" w:cs="Times New Roman"/>
        </w:rPr>
        <w:t>年中绩效监控时，专业申报工作尚在报批阶段；</w:t>
      </w:r>
      <w:r>
        <w:rPr>
          <w:rFonts w:hint="default" w:ascii="Times New Roman" w:hAnsi="Times New Roman" w:cs="Times New Roman"/>
          <w:lang w:val="en-US" w:eastAsia="zh-CN"/>
        </w:rPr>
        <w:t>根据“教育厅新增专业公示”显示，年终实际完成值是“=3”，指标完成率是100</w:t>
      </w:r>
      <w:r>
        <w:rPr>
          <w:rFonts w:hint="eastAsia" w:ascii="Times New Roman" w:hAnsi="Times New Roman" w:cs="Times New Roman"/>
          <w:lang w:val="en-US" w:eastAsia="zh-CN"/>
        </w:rPr>
        <w:t>.00</w:t>
      </w:r>
      <w:r>
        <w:rPr>
          <w:rFonts w:hint="default" w:ascii="Times New Roman" w:hAnsi="Times New Roman" w:cs="Times New Roman"/>
          <w:lang w:val="en-US" w:eastAsia="zh-CN"/>
        </w:rPr>
        <w:t>%，达到了</w:t>
      </w:r>
      <w:r>
        <w:rPr>
          <w:rFonts w:hint="default" w:ascii="Times New Roman" w:hAnsi="Times New Roman" w:cs="Times New Roman"/>
        </w:rPr>
        <w:t>强化专业与课程建设，优化完善“增、调、稳、退”专业动态调整机制，不断提升</w:t>
      </w:r>
      <w:r>
        <w:rPr>
          <w:rFonts w:hint="default" w:ascii="Times New Roman" w:hAnsi="Times New Roman" w:cs="Times New Roman"/>
          <w:lang w:val="en-US" w:eastAsia="zh-CN"/>
        </w:rPr>
        <w:t>了</w:t>
      </w:r>
      <w:r>
        <w:rPr>
          <w:rFonts w:hint="default" w:ascii="Times New Roman" w:hAnsi="Times New Roman" w:cs="Times New Roman"/>
        </w:rPr>
        <w:t>专业服务地方产业发展的能力，逐步优化专业设置与布局的预期目标。</w:t>
      </w:r>
    </w:p>
    <w:p w14:paraId="660C7DC6">
      <w:pPr>
        <w:pStyle w:val="3"/>
        <w:pageBreakBefore w:val="0"/>
        <w:widowControl w:val="0"/>
        <w:numPr>
          <w:ilvl w:val="0"/>
          <w:numId w:val="0"/>
        </w:numPr>
        <w:kinsoku/>
        <w:wordWrap/>
        <w:overflowPunct/>
        <w:topLinePunct w:val="0"/>
        <w:autoSpaceDE/>
        <w:autoSpaceDN/>
        <w:bidi w:val="0"/>
        <w:adjustRightInd w:val="0"/>
        <w:snapToGrid w:val="0"/>
        <w:spacing w:before="0" w:beforeLines="0" w:afterLines="0" w:line="560" w:lineRule="exact"/>
        <w:ind w:firstLine="643" w:firstLineChars="200"/>
        <w:textAlignment w:val="auto"/>
        <w:rPr>
          <w:rFonts w:hint="default" w:ascii="Times New Roman" w:hAnsi="Times New Roman" w:cs="Times New Roman"/>
          <w:color w:val="FF0000"/>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二）“培育建设思政理论课创新团队数量（支）”指标完成情况分析</w:t>
      </w:r>
    </w:p>
    <w:p w14:paraId="2BFF0B6B">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“培育建设思政理论课创新团队数量（支）”指标年初设定目标是“</w:t>
      </w:r>
      <w:r>
        <w:rPr>
          <w:rFonts w:hint="eastAsia" w:ascii="Times New Roman" w:hAnsi="Times New Roman" w:cs="Times New Roman"/>
          <w:lang w:val="en-US" w:eastAsia="zh-CN"/>
        </w:rPr>
        <w:t>≥</w:t>
      </w:r>
      <w:r>
        <w:rPr>
          <w:rFonts w:hint="default" w:ascii="Times New Roman" w:hAnsi="Times New Roman" w:cs="Times New Roman"/>
          <w:lang w:val="en-US" w:eastAsia="zh-CN"/>
        </w:rPr>
        <w:t>1”；年中绩效运行监控时完成值“=1”；根据“关于阿克苏地区职业教育教学创新团队的公示”显示，年终实际完成值是“=1”，指标完成率是100</w:t>
      </w:r>
      <w:r>
        <w:rPr>
          <w:rFonts w:hint="eastAsia" w:ascii="Times New Roman" w:hAnsi="Times New Roman" w:cs="Times New Roman"/>
          <w:lang w:val="en-US" w:eastAsia="zh-CN"/>
        </w:rPr>
        <w:t>.00</w:t>
      </w:r>
      <w:r>
        <w:rPr>
          <w:rFonts w:hint="default" w:ascii="Times New Roman" w:hAnsi="Times New Roman" w:cs="Times New Roman"/>
          <w:lang w:val="en-US" w:eastAsia="zh-CN"/>
        </w:rPr>
        <w:t>%，达到了有效促进教师专业发展，增强学生思想教育效果，推动学科建设与发展，提高了学校在思政领域知名度和影响力。</w:t>
      </w:r>
    </w:p>
    <w:p w14:paraId="1A90533F">
      <w:pPr>
        <w:pStyle w:val="3"/>
        <w:pageBreakBefore w:val="0"/>
        <w:widowControl w:val="0"/>
        <w:numPr>
          <w:ilvl w:val="0"/>
          <w:numId w:val="0"/>
        </w:numPr>
        <w:kinsoku/>
        <w:wordWrap/>
        <w:overflowPunct/>
        <w:topLinePunct w:val="0"/>
        <w:autoSpaceDE/>
        <w:autoSpaceDN/>
        <w:bidi w:val="0"/>
        <w:adjustRightInd w:val="0"/>
        <w:snapToGrid w:val="0"/>
        <w:spacing w:before="0" w:beforeLines="0" w:afterLines="0" w:line="560" w:lineRule="exact"/>
        <w:ind w:firstLine="643" w:firstLineChars="200"/>
        <w:textAlignment w:val="auto"/>
        <w:rPr>
          <w:rFonts w:hint="default" w:ascii="Times New Roman" w:hAnsi="Times New Roman" w:cs="Times New Roman"/>
          <w:color w:val="FF0000"/>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三）“</w:t>
      </w:r>
      <w:r>
        <w:rPr>
          <w:rFonts w:hint="default" w:ascii="Times New Roman" w:hAnsi="Times New Roman" w:eastAsia="楷体_GB2312" w:cs="Times New Roman"/>
          <w:b/>
          <w:kern w:val="2"/>
          <w:sz w:val="32"/>
          <w:szCs w:val="24"/>
          <w:lang w:val="en-US" w:eastAsia="zh-CN" w:bidi="ar-SA"/>
        </w:rPr>
        <w:t>持续巩固校企合作企业数量（个）</w:t>
      </w:r>
      <w:r>
        <w:rPr>
          <w:rFonts w:hint="default" w:ascii="Times New Roman" w:hAnsi="Times New Roman" w:cs="Times New Roman"/>
          <w:lang w:val="en-US" w:eastAsia="zh-CN"/>
        </w:rPr>
        <w:t>”指标完成情况分析</w:t>
      </w:r>
    </w:p>
    <w:p w14:paraId="667F6366">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“持续巩固校企合作企业数量（个）”指标年初设定目标是“</w:t>
      </w:r>
      <w:r>
        <w:rPr>
          <w:rFonts w:hint="eastAsia" w:ascii="Times New Roman" w:hAnsi="Times New Roman" w:cs="Times New Roman"/>
          <w:lang w:val="en-US" w:eastAsia="zh-CN"/>
        </w:rPr>
        <w:t>≥</w:t>
      </w:r>
      <w:r>
        <w:rPr>
          <w:rFonts w:hint="default" w:ascii="Times New Roman" w:hAnsi="Times New Roman" w:cs="Times New Roman"/>
          <w:lang w:val="en-US" w:eastAsia="zh-CN"/>
        </w:rPr>
        <w:t>6”；年中绩效运行监控时完成值“=5”，偏差原因是：</w:t>
      </w:r>
      <w:r>
        <w:rPr>
          <w:rFonts w:hint="default" w:ascii="Times New Roman" w:hAnsi="Times New Roman" w:cs="Times New Roman"/>
        </w:rPr>
        <w:t>年中绩效监控时，</w:t>
      </w:r>
      <w:r>
        <w:rPr>
          <w:rFonts w:hint="eastAsia" w:ascii="Times New Roman" w:hAnsi="Times New Roman" w:cs="Times New Roman"/>
          <w:lang w:val="en-US" w:eastAsia="zh-CN"/>
        </w:rPr>
        <w:t>其中一家合作企业认为相关专业</w:t>
      </w:r>
      <w:r>
        <w:rPr>
          <w:rFonts w:hint="default" w:ascii="Times New Roman" w:hAnsi="Times New Roman" w:cs="Times New Roman"/>
          <w:lang w:val="en-US" w:eastAsia="zh-CN"/>
        </w:rPr>
        <w:t>实习学生</w:t>
      </w:r>
      <w:r>
        <w:rPr>
          <w:rFonts w:hint="eastAsia" w:ascii="Times New Roman" w:hAnsi="Times New Roman" w:cs="Times New Roman"/>
          <w:lang w:val="en-US" w:eastAsia="zh-CN"/>
        </w:rPr>
        <w:t>经验不足，可能会增加企业管理成本和风险</w:t>
      </w:r>
      <w:r>
        <w:rPr>
          <w:rFonts w:hint="default" w:ascii="Times New Roman" w:hAnsi="Times New Roman" w:cs="Times New Roman"/>
        </w:rPr>
        <w:t>；</w:t>
      </w:r>
      <w:r>
        <w:rPr>
          <w:rFonts w:hint="default" w:ascii="Times New Roman" w:hAnsi="Times New Roman" w:cs="Times New Roman"/>
          <w:lang w:val="en-US" w:eastAsia="zh-CN"/>
        </w:rPr>
        <w:t>根据“2024年校外实习实训基地认定名单”显示，年终实际完成值是“=6”，指标完成率是100</w:t>
      </w:r>
      <w:r>
        <w:rPr>
          <w:rFonts w:hint="eastAsia" w:ascii="Times New Roman" w:hAnsi="Times New Roman" w:cs="Times New Roman"/>
          <w:lang w:val="en-US" w:eastAsia="zh-CN"/>
        </w:rPr>
        <w:t>.00</w:t>
      </w:r>
      <w:r>
        <w:rPr>
          <w:rFonts w:hint="default" w:ascii="Times New Roman" w:hAnsi="Times New Roman" w:cs="Times New Roman"/>
          <w:lang w:val="en-US" w:eastAsia="zh-CN"/>
        </w:rPr>
        <w:t>%，达到了推进“双主体，深融合”订单班建设，不断创新订单班人才培养模式，切实做到专业对接产业、课程对接岗位、培养过程对接生产过程。</w:t>
      </w:r>
    </w:p>
    <w:p w14:paraId="55B9FBB1">
      <w:pPr>
        <w:pStyle w:val="3"/>
        <w:pageBreakBefore w:val="0"/>
        <w:widowControl w:val="0"/>
        <w:numPr>
          <w:ilvl w:val="0"/>
          <w:numId w:val="0"/>
        </w:numPr>
        <w:kinsoku/>
        <w:wordWrap/>
        <w:overflowPunct/>
        <w:topLinePunct w:val="0"/>
        <w:autoSpaceDE/>
        <w:autoSpaceDN/>
        <w:bidi w:val="0"/>
        <w:adjustRightInd w:val="0"/>
        <w:snapToGrid w:val="0"/>
        <w:spacing w:before="0" w:beforeLines="0" w:afterLines="0" w:line="560" w:lineRule="exact"/>
        <w:ind w:firstLine="643" w:firstLineChars="200"/>
        <w:textAlignment w:val="auto"/>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四）“年终学生就业率（%）”指标完成情况分析</w:t>
      </w:r>
    </w:p>
    <w:p w14:paraId="02987EA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“年终学生就业率（%）”指标年初设定目标是“</w:t>
      </w:r>
      <w:r>
        <w:rPr>
          <w:rFonts w:hint="eastAsia" w:ascii="Times New Roman" w:hAnsi="Times New Roman" w:cs="Times New Roman"/>
          <w:lang w:val="en-US" w:eastAsia="zh-CN"/>
        </w:rPr>
        <w:t>≥</w:t>
      </w:r>
      <w:r>
        <w:rPr>
          <w:rFonts w:hint="default" w:ascii="Times New Roman" w:hAnsi="Times New Roman" w:cs="Times New Roman"/>
          <w:lang w:val="en-US" w:eastAsia="zh-CN"/>
        </w:rPr>
        <w:t>95”；年中绩效运行监控时完成值“=0”，偏差原因是：</w:t>
      </w:r>
      <w:r>
        <w:rPr>
          <w:rFonts w:hint="default" w:ascii="Times New Roman" w:hAnsi="Times New Roman" w:cs="Times New Roman"/>
        </w:rPr>
        <w:t>1.该指标为年终就业率；2.年中绩效监控时，202</w:t>
      </w:r>
      <w:r>
        <w:rPr>
          <w:rFonts w:hint="default" w:ascii="Times New Roman" w:hAnsi="Times New Roman" w:cs="Times New Roman"/>
          <w:lang w:val="en-US" w:eastAsia="zh-CN"/>
        </w:rPr>
        <w:t>4</w:t>
      </w:r>
      <w:r>
        <w:rPr>
          <w:rFonts w:hint="default" w:ascii="Times New Roman" w:hAnsi="Times New Roman" w:cs="Times New Roman"/>
        </w:rPr>
        <w:t>届学生尚未毕业</w:t>
      </w:r>
      <w:r>
        <w:rPr>
          <w:rFonts w:hint="default" w:ascii="Times New Roman" w:hAnsi="Times New Roman" w:cs="Times New Roman"/>
          <w:lang w:val="en-US" w:eastAsia="zh-CN"/>
        </w:rPr>
        <w:t>；根据“就业落实情况表”显示，年终实际完成值是“=96.</w:t>
      </w:r>
      <w:r>
        <w:rPr>
          <w:rFonts w:hint="eastAsia" w:ascii="Times New Roman" w:hAnsi="Times New Roman" w:cs="Times New Roman"/>
          <w:lang w:val="en-US" w:eastAsia="zh-CN"/>
        </w:rPr>
        <w:t>80</w:t>
      </w:r>
      <w:r>
        <w:rPr>
          <w:rFonts w:hint="default" w:ascii="Times New Roman" w:hAnsi="Times New Roman" w:cs="Times New Roman"/>
          <w:lang w:val="en-US" w:eastAsia="zh-CN"/>
        </w:rPr>
        <w:t>”，指标完成率是101.</w:t>
      </w:r>
      <w:r>
        <w:rPr>
          <w:rFonts w:hint="eastAsia" w:ascii="Times New Roman" w:hAnsi="Times New Roman" w:cs="Times New Roman"/>
          <w:lang w:val="en-US" w:eastAsia="zh-CN"/>
        </w:rPr>
        <w:t>89</w:t>
      </w:r>
      <w:r>
        <w:rPr>
          <w:rFonts w:hint="default" w:ascii="Times New Roman" w:hAnsi="Times New Roman" w:cs="Times New Roman"/>
          <w:lang w:val="en-US" w:eastAsia="zh-CN"/>
        </w:rPr>
        <w:t>%，</w:t>
      </w:r>
      <w:r>
        <w:rPr>
          <w:rFonts w:hint="default" w:ascii="Times New Roman" w:hAnsi="Times New Roman" w:cs="Times New Roman"/>
        </w:rPr>
        <w:t>达到了全面实施就业“一把手”工程，落实好书记、院长访企拓岗促就业专项行动，多途径促进毕业生更加充分、更高质量就业的预期目标。</w:t>
      </w:r>
    </w:p>
    <w:p w14:paraId="4D2C5609">
      <w:pPr>
        <w:pStyle w:val="3"/>
        <w:pageBreakBefore w:val="0"/>
        <w:widowControl w:val="0"/>
        <w:numPr>
          <w:ilvl w:val="0"/>
          <w:numId w:val="0"/>
        </w:numPr>
        <w:kinsoku/>
        <w:wordWrap/>
        <w:overflowPunct/>
        <w:topLinePunct w:val="0"/>
        <w:autoSpaceDE/>
        <w:autoSpaceDN/>
        <w:bidi w:val="0"/>
        <w:adjustRightInd w:val="0"/>
        <w:snapToGrid w:val="0"/>
        <w:spacing w:before="0" w:beforeLines="0" w:afterLines="0" w:line="560" w:lineRule="exact"/>
        <w:ind w:firstLine="643" w:firstLineChars="200"/>
        <w:textAlignment w:val="auto"/>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五）“学生满意度（%）”指标完成情况分析</w:t>
      </w:r>
    </w:p>
    <w:p w14:paraId="77D7A099">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FF0000"/>
          <w:lang w:eastAsia="zh-CN"/>
        </w:rPr>
      </w:pPr>
      <w:r>
        <w:rPr>
          <w:rFonts w:hint="default" w:ascii="Times New Roman" w:hAnsi="Times New Roman" w:cs="Times New Roman"/>
          <w:lang w:val="en-US" w:eastAsia="zh-CN"/>
        </w:rPr>
        <w:t>“学生满意度（%）”指标年初设定目标是“</w:t>
      </w:r>
      <w:r>
        <w:rPr>
          <w:rFonts w:hint="eastAsia" w:ascii="Times New Roman" w:hAnsi="Times New Roman" w:cs="Times New Roman"/>
          <w:lang w:val="en-US" w:eastAsia="zh-CN"/>
        </w:rPr>
        <w:t>≥</w:t>
      </w:r>
      <w:r>
        <w:rPr>
          <w:rFonts w:hint="default" w:ascii="Times New Roman" w:hAnsi="Times New Roman" w:cs="Times New Roman"/>
          <w:lang w:val="en-US" w:eastAsia="zh-CN"/>
        </w:rPr>
        <w:t>90”；年中绩效运行监控时完成值“=0”，偏差原因是：为保证满意度调查准确性和科学性，学生满意度于年底一次性进行监控；根据“满意度问卷指标完成率计算表”显示，年终实际完成值是“=90.83”，指标完成率是100.92%，</w:t>
      </w:r>
      <w:r>
        <w:rPr>
          <w:rFonts w:hint="default" w:ascii="Times New Roman" w:hAnsi="Times New Roman" w:cs="Times New Roman"/>
        </w:rPr>
        <w:t>达到了</w:t>
      </w:r>
      <w:r>
        <w:rPr>
          <w:rFonts w:hint="default" w:ascii="Times New Roman" w:hAnsi="Times New Roman" w:cs="Times New Roman"/>
          <w:lang w:val="en-US" w:eastAsia="zh-CN"/>
        </w:rPr>
        <w:t>提升学校品牌与招生竞争力，优化了教育质量与教学管理</w:t>
      </w:r>
      <w:r>
        <w:rPr>
          <w:rFonts w:hint="default" w:ascii="Times New Roman" w:hAnsi="Times New Roman" w:cs="Times New Roman"/>
        </w:rPr>
        <w:t>。</w:t>
      </w:r>
    </w:p>
    <w:p w14:paraId="1784E171">
      <w:pPr>
        <w:pStyle w:val="2"/>
        <w:pageBreakBefore w:val="0"/>
        <w:widowControl w:val="0"/>
        <w:numPr>
          <w:ilvl w:val="0"/>
          <w:numId w:val="0"/>
        </w:numPr>
        <w:kinsoku/>
        <w:wordWrap/>
        <w:overflowPunct/>
        <w:topLinePunct w:val="0"/>
        <w:autoSpaceDE/>
        <w:autoSpaceDN/>
        <w:bidi w:val="0"/>
        <w:adjustRightInd w:val="0"/>
        <w:snapToGrid w:val="0"/>
        <w:spacing w:line="560" w:lineRule="exact"/>
        <w:ind w:leftChars="200"/>
        <w:textAlignment w:val="auto"/>
        <w:rPr>
          <w:rFonts w:hint="default" w:ascii="Times New Roman" w:hAnsi="Times New Roman" w:cs="Times New Roman"/>
          <w:lang w:val="en-US"/>
        </w:rPr>
      </w:pPr>
      <w:r>
        <w:rPr>
          <w:rFonts w:hint="default" w:ascii="Times New Roman" w:hAnsi="Times New Roman" w:cs="Times New Roman"/>
          <w:lang w:val="en-US" w:eastAsia="zh-CN"/>
        </w:rPr>
        <w:t>四、评价结论</w:t>
      </w:r>
    </w:p>
    <w:p w14:paraId="5749ACB3">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我单位</w:t>
      </w:r>
      <w:r>
        <w:rPr>
          <w:rFonts w:hint="default" w:ascii="Times New Roman" w:hAnsi="Times New Roman" w:cs="Times New Roman"/>
          <w:lang w:eastAsia="zh-CN"/>
        </w:rPr>
        <w:t>20</w:t>
      </w:r>
      <w:r>
        <w:rPr>
          <w:rFonts w:hint="default" w:ascii="Times New Roman" w:hAnsi="Times New Roman" w:cs="Times New Roman"/>
          <w:lang w:val="en-US" w:eastAsia="zh-CN"/>
        </w:rPr>
        <w:t>24</w:t>
      </w:r>
      <w:r>
        <w:rPr>
          <w:rFonts w:hint="default" w:ascii="Times New Roman" w:hAnsi="Times New Roman" w:cs="Times New Roman"/>
          <w:lang w:eastAsia="zh-CN"/>
        </w:rPr>
        <w:t>年度部门整体支出绩效自评综合得分</w:t>
      </w:r>
      <w:r>
        <w:rPr>
          <w:rFonts w:hint="eastAsia" w:ascii="Times New Roman" w:hAnsi="Times New Roman" w:cs="Times New Roman"/>
          <w:lang w:val="en-US" w:eastAsia="zh-CN"/>
        </w:rPr>
        <w:t>99.98</w:t>
      </w:r>
      <w:r>
        <w:rPr>
          <w:rFonts w:hint="default" w:ascii="Times New Roman" w:hAnsi="Times New Roman" w:cs="Times New Roman"/>
          <w:lang w:eastAsia="zh-CN"/>
        </w:rPr>
        <w:t>分，评价结果为“优”。我单位</w:t>
      </w: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年部门履职效果良好，</w:t>
      </w:r>
      <w:r>
        <w:rPr>
          <w:rFonts w:hint="default" w:ascii="Times New Roman" w:hAnsi="Times New Roman" w:cs="Times New Roman"/>
          <w:lang w:val="en-US" w:eastAsia="zh-CN"/>
        </w:rPr>
        <w:t>主要体现在：</w:t>
      </w:r>
    </w:p>
    <w:p w14:paraId="3E4CA622">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优质校”建设完美收官，标志性成果丰硕。高质量完成九个子项目和三大专业群建设任务，顺利通过终期验收，成功创建自治区第二批优质高等职业院校。“优质校”建设期间，取得国家级标志性成果38项、自治区级标志性成果144项。</w:t>
      </w:r>
    </w:p>
    <w:p w14:paraId="55D0EBF3">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lang w:val="en-US" w:eastAsia="zh-CN"/>
        </w:rPr>
        <w:t>2.三教改革系统推进，教育</w:t>
      </w:r>
      <w:r>
        <w:rPr>
          <w:rFonts w:hint="default" w:ascii="Times New Roman" w:hAnsi="Times New Roman" w:cs="Times New Roman"/>
        </w:rPr>
        <w:t>教学</w:t>
      </w:r>
      <w:r>
        <w:rPr>
          <w:rFonts w:hint="default" w:ascii="Times New Roman" w:hAnsi="Times New Roman" w:cs="Times New Roman"/>
          <w:lang w:val="en-US" w:eastAsia="zh-CN"/>
        </w:rPr>
        <w:t>质量提质增效</w:t>
      </w:r>
      <w:r>
        <w:rPr>
          <w:rFonts w:hint="default" w:ascii="Times New Roman" w:hAnsi="Times New Roman" w:cs="Times New Roman"/>
        </w:rPr>
        <w:t>。深化课程、课堂、教师“三位一体”的课程迭代改革，</w:t>
      </w:r>
      <w:r>
        <w:rPr>
          <w:rFonts w:hint="default" w:ascii="Times New Roman" w:hAnsi="Times New Roman" w:cs="Times New Roman"/>
          <w:lang w:val="en-US" w:eastAsia="zh-CN"/>
        </w:rPr>
        <w:t>获批2023年职业教育国家在线精品课程1门</w:t>
      </w:r>
      <w:r>
        <w:rPr>
          <w:rFonts w:hint="default" w:ascii="Times New Roman" w:hAnsi="Times New Roman" w:cs="Times New Roman"/>
          <w:lang w:eastAsia="zh-CN"/>
        </w:rPr>
        <w:t>，这是我</w:t>
      </w:r>
      <w:r>
        <w:rPr>
          <w:rFonts w:hint="default" w:ascii="Times New Roman" w:hAnsi="Times New Roman" w:cs="Times New Roman"/>
          <w:lang w:val="en-US" w:eastAsia="zh-CN"/>
        </w:rPr>
        <w:t>院</w:t>
      </w:r>
      <w:r>
        <w:rPr>
          <w:rFonts w:hint="default" w:ascii="Times New Roman" w:hAnsi="Times New Roman" w:cs="Times New Roman"/>
          <w:lang w:eastAsia="zh-CN"/>
        </w:rPr>
        <w:t>首门“国精课”，</w:t>
      </w:r>
      <w:r>
        <w:rPr>
          <w:rFonts w:hint="default" w:ascii="Times New Roman" w:hAnsi="Times New Roman" w:cs="Times New Roman"/>
          <w:lang w:val="en-US" w:eastAsia="zh-CN"/>
        </w:rPr>
        <w:t>填补了</w:t>
      </w:r>
      <w:r>
        <w:rPr>
          <w:rFonts w:hint="default" w:ascii="Times New Roman" w:hAnsi="Times New Roman" w:cs="Times New Roman"/>
          <w:lang w:eastAsia="zh-CN"/>
        </w:rPr>
        <w:t>我</w:t>
      </w:r>
      <w:r>
        <w:rPr>
          <w:rFonts w:hint="default" w:ascii="Times New Roman" w:hAnsi="Times New Roman" w:cs="Times New Roman"/>
          <w:lang w:val="en-US" w:eastAsia="zh-CN"/>
        </w:rPr>
        <w:t>院</w:t>
      </w:r>
      <w:r>
        <w:rPr>
          <w:rFonts w:hint="default" w:ascii="Times New Roman" w:hAnsi="Times New Roman" w:cs="Times New Roman"/>
          <w:lang w:eastAsia="zh-CN"/>
        </w:rPr>
        <w:t>国家级在线精品课程</w:t>
      </w:r>
      <w:r>
        <w:rPr>
          <w:rFonts w:hint="default" w:ascii="Times New Roman" w:hAnsi="Times New Roman" w:cs="Times New Roman"/>
          <w:lang w:val="en-US" w:eastAsia="zh-CN"/>
        </w:rPr>
        <w:t>空白</w:t>
      </w:r>
      <w:r>
        <w:rPr>
          <w:rFonts w:hint="default" w:ascii="Times New Roman" w:hAnsi="Times New Roman" w:cs="Times New Roman"/>
        </w:rPr>
        <w:t>。</w:t>
      </w:r>
      <w:r>
        <w:rPr>
          <w:rFonts w:hint="default" w:ascii="Times New Roman" w:hAnsi="Times New Roman" w:cs="Times New Roman"/>
          <w:lang w:val="en-US" w:eastAsia="zh-CN"/>
        </w:rPr>
        <w:t>动态调整优化专业，增设、停办专业4个，新增“自治区第三批高职骨干专业群”1个，专业服务</w:t>
      </w:r>
      <w:r>
        <w:rPr>
          <w:rFonts w:hint="default" w:ascii="Times New Roman" w:hAnsi="Times New Roman" w:cs="Times New Roman"/>
        </w:rPr>
        <w:t>地方产业发展的能力进一步提高</w:t>
      </w:r>
      <w:r>
        <w:rPr>
          <w:rFonts w:hint="default" w:ascii="Times New Roman" w:hAnsi="Times New Roman" w:cs="Times New Roman"/>
          <w:lang w:eastAsia="zh-CN"/>
        </w:rPr>
        <w:t>。</w:t>
      </w:r>
      <w:r>
        <w:rPr>
          <w:rFonts w:hint="default" w:ascii="Times New Roman" w:hAnsi="Times New Roman" w:cs="Times New Roman"/>
          <w:lang w:val="en-US" w:eastAsia="zh-CN"/>
        </w:rPr>
        <w:t>高水平承办</w:t>
      </w:r>
      <w:r>
        <w:rPr>
          <w:rFonts w:hint="default" w:ascii="Times New Roman" w:hAnsi="Times New Roman" w:cs="Times New Roman"/>
        </w:rPr>
        <w:t>自治区职业院校技能大赛暨全国职业院校技能大赛新疆选拔赛，荣获自治区级</w:t>
      </w:r>
      <w:r>
        <w:rPr>
          <w:rFonts w:hint="default" w:ascii="Times New Roman" w:hAnsi="Times New Roman" w:cs="Times New Roman"/>
          <w:lang w:val="en-US" w:eastAsia="zh-CN"/>
        </w:rPr>
        <w:t>及</w:t>
      </w:r>
      <w:r>
        <w:rPr>
          <w:rFonts w:hint="default" w:ascii="Times New Roman" w:hAnsi="Times New Roman" w:cs="Times New Roman"/>
        </w:rPr>
        <w:t>以上教学竞赛奖励</w:t>
      </w:r>
      <w:r>
        <w:rPr>
          <w:rFonts w:hint="default" w:ascii="Times New Roman" w:hAnsi="Times New Roman" w:cs="Times New Roman"/>
          <w:lang w:val="en-US" w:eastAsia="zh-CN"/>
        </w:rPr>
        <w:t>9</w:t>
      </w:r>
      <w:r>
        <w:rPr>
          <w:rFonts w:hint="default" w:ascii="Times New Roman" w:hAnsi="Times New Roman" w:cs="Times New Roman"/>
        </w:rPr>
        <w:t>项，其中全国职业院校技能大赛教学能力比赛三等奖1项。</w:t>
      </w:r>
    </w:p>
    <w:p w14:paraId="175E5B6D">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lang w:eastAsia="zh-CN"/>
        </w:rPr>
      </w:pPr>
      <w:r>
        <w:rPr>
          <w:rFonts w:hint="default" w:ascii="Times New Roman" w:hAnsi="Times New Roman" w:cs="Times New Roman"/>
          <w:lang w:val="en-US" w:eastAsia="zh-CN"/>
        </w:rPr>
        <w:t>3.生源质量严格把关，</w:t>
      </w:r>
      <w:r>
        <w:rPr>
          <w:rFonts w:hint="default" w:ascii="Times New Roman" w:hAnsi="Times New Roman" w:cs="Times New Roman"/>
        </w:rPr>
        <w:t>招生就业</w:t>
      </w:r>
      <w:r>
        <w:rPr>
          <w:rFonts w:hint="default" w:ascii="Times New Roman" w:hAnsi="Times New Roman" w:cs="Times New Roman"/>
          <w:lang w:val="en-US" w:eastAsia="zh-CN"/>
        </w:rPr>
        <w:t>实现两旺</w:t>
      </w:r>
      <w:r>
        <w:rPr>
          <w:rFonts w:hint="default" w:ascii="Times New Roman" w:hAnsi="Times New Roman" w:cs="Times New Roman"/>
        </w:rPr>
        <w:t>。调整优化生源结构，把好学生“入口关”，2024年招生</w:t>
      </w:r>
      <w:r>
        <w:rPr>
          <w:rFonts w:hint="default" w:ascii="Times New Roman" w:hAnsi="Times New Roman" w:cs="Times New Roman"/>
          <w:lang w:val="en-US" w:eastAsia="zh-CN"/>
        </w:rPr>
        <w:t>4354人，疆外招生省市由9个增加到</w:t>
      </w:r>
      <w:r>
        <w:rPr>
          <w:rFonts w:hint="default" w:ascii="Times New Roman" w:hAnsi="Times New Roman" w:cs="Times New Roman"/>
        </w:rPr>
        <w:t>15个，疆外</w:t>
      </w:r>
      <w:r>
        <w:rPr>
          <w:rFonts w:hint="default" w:ascii="Times New Roman" w:hAnsi="Times New Roman" w:cs="Times New Roman"/>
          <w:lang w:val="en-US" w:eastAsia="zh-CN"/>
        </w:rPr>
        <w:t>在校生达</w:t>
      </w:r>
      <w:r>
        <w:rPr>
          <w:rFonts w:hint="default" w:ascii="Times New Roman" w:hAnsi="Times New Roman" w:cs="Times New Roman"/>
        </w:rPr>
        <w:t>4</w:t>
      </w:r>
      <w:r>
        <w:rPr>
          <w:rFonts w:hint="default" w:ascii="Times New Roman" w:hAnsi="Times New Roman" w:cs="Times New Roman"/>
          <w:lang w:val="en-US" w:eastAsia="zh-CN"/>
        </w:rPr>
        <w:t>61</w:t>
      </w:r>
      <w:r>
        <w:rPr>
          <w:rFonts w:hint="default" w:ascii="Times New Roman" w:hAnsi="Times New Roman" w:cs="Times New Roman"/>
        </w:rPr>
        <w:t>人，</w:t>
      </w:r>
      <w:r>
        <w:rPr>
          <w:rFonts w:hint="default" w:ascii="Times New Roman" w:hAnsi="Times New Roman" w:cs="Times New Roman"/>
          <w:lang w:val="en-US" w:eastAsia="zh-CN"/>
        </w:rPr>
        <w:t>其中过新疆二本线426人，占比92.41%</w:t>
      </w:r>
      <w:r>
        <w:rPr>
          <w:rFonts w:hint="default" w:ascii="Times New Roman" w:hAnsi="Times New Roman" w:cs="Times New Roman"/>
        </w:rPr>
        <w:t>。有效拓宽就业渠道，校院两级领导干部主动作为，共访企拓岗50</w:t>
      </w:r>
      <w:r>
        <w:rPr>
          <w:rFonts w:hint="default" w:ascii="Times New Roman" w:hAnsi="Times New Roman" w:cs="Times New Roman"/>
          <w:lang w:val="en-US" w:eastAsia="zh-CN"/>
        </w:rPr>
        <w:t>余</w:t>
      </w:r>
      <w:r>
        <w:rPr>
          <w:rFonts w:hint="default" w:ascii="Times New Roman" w:hAnsi="Times New Roman" w:cs="Times New Roman"/>
        </w:rPr>
        <w:t>家企业，拓岗1000余个。</w:t>
      </w:r>
      <w:r>
        <w:rPr>
          <w:rFonts w:hint="default" w:ascii="Times New Roman" w:hAnsi="Times New Roman" w:cs="Times New Roman"/>
          <w:lang w:val="en-US" w:eastAsia="zh-CN"/>
        </w:rPr>
        <w:t>顺利举办</w:t>
      </w:r>
      <w:r>
        <w:rPr>
          <w:rFonts w:hint="default" w:ascii="Times New Roman" w:hAnsi="Times New Roman" w:cs="Times New Roman"/>
        </w:rPr>
        <w:t>高校毕业生就业工作骨干人员业务培训班</w:t>
      </w:r>
      <w:r>
        <w:rPr>
          <w:rFonts w:hint="default" w:ascii="Times New Roman" w:hAnsi="Times New Roman" w:cs="Times New Roman"/>
          <w:lang w:val="en-US" w:eastAsia="zh-CN"/>
        </w:rPr>
        <w:t>，</w:t>
      </w:r>
      <w:r>
        <w:rPr>
          <w:rFonts w:hint="default" w:ascii="Times New Roman" w:hAnsi="Times New Roman" w:cs="Times New Roman"/>
        </w:rPr>
        <w:t>成功加入高校毕业生就业协会职业教育就业工作委员会</w:t>
      </w:r>
      <w:r>
        <w:rPr>
          <w:rFonts w:hint="default" w:ascii="Times New Roman" w:hAnsi="Times New Roman" w:cs="Times New Roman"/>
          <w:lang w:eastAsia="zh-CN"/>
        </w:rPr>
        <w:t>。</w:t>
      </w:r>
      <w:r>
        <w:rPr>
          <w:rFonts w:hint="default" w:ascii="Times New Roman" w:hAnsi="Times New Roman" w:cs="Times New Roman"/>
        </w:rPr>
        <w:t>截至目前，学院2024届3902名高职毕业生就业率达</w:t>
      </w:r>
      <w:r>
        <w:rPr>
          <w:rFonts w:hint="default" w:ascii="Times New Roman" w:hAnsi="Times New Roman" w:cs="Times New Roman"/>
          <w:lang w:val="en-US" w:eastAsia="zh-CN"/>
        </w:rPr>
        <w:t>96.</w:t>
      </w:r>
      <w:r>
        <w:rPr>
          <w:rFonts w:hint="eastAsia" w:ascii="Times New Roman" w:hAnsi="Times New Roman" w:cs="Times New Roman"/>
          <w:lang w:val="en-US" w:eastAsia="zh-CN"/>
        </w:rPr>
        <w:t>80</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创新创业工作得到社会各界充分认可，高标准承办自治区第二届黄炎培职业教育创新创业大赛。</w:t>
      </w:r>
    </w:p>
    <w:p w14:paraId="2A2E0793">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lang w:val="en-US" w:eastAsia="zh-CN"/>
        </w:rPr>
      </w:pPr>
      <w:bookmarkStart w:id="4" w:name="_Toc22800_WPSOffice_Level1"/>
      <w:r>
        <w:rPr>
          <w:rFonts w:hint="default" w:ascii="Times New Roman" w:hAnsi="Times New Roman" w:cs="Times New Roman"/>
          <w:lang w:val="en-US" w:eastAsia="zh-CN"/>
        </w:rPr>
        <w:t>五、</w:t>
      </w:r>
      <w:r>
        <w:rPr>
          <w:rFonts w:hint="default" w:ascii="Times New Roman" w:hAnsi="Times New Roman" w:cs="Times New Roman"/>
        </w:rPr>
        <w:t>存在的主要问题</w:t>
      </w:r>
      <w:bookmarkEnd w:id="4"/>
      <w:r>
        <w:rPr>
          <w:rFonts w:hint="default" w:ascii="Times New Roman" w:hAnsi="Times New Roman" w:cs="Times New Roman"/>
          <w:lang w:val="en-US" w:eastAsia="zh-CN"/>
        </w:rPr>
        <w:t>及原因分析</w:t>
      </w:r>
    </w:p>
    <w:p w14:paraId="3853526E">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lang w:val="en-US" w:eastAsia="zh-CN"/>
        </w:rPr>
      </w:pPr>
      <w:r>
        <w:rPr>
          <w:rFonts w:hint="eastAsia" w:ascii="Times New Roman" w:hAnsi="Times New Roman" w:cs="Times New Roman"/>
        </w:rPr>
        <w:t>一是体制机制需要进一步完善。学</w:t>
      </w:r>
      <w:r>
        <w:rPr>
          <w:rFonts w:hint="eastAsia" w:ascii="Times New Roman" w:hAnsi="Times New Roman" w:cs="Times New Roman"/>
          <w:lang w:val="en-US" w:eastAsia="zh-CN"/>
        </w:rPr>
        <w:t>院</w:t>
      </w:r>
      <w:r>
        <w:rPr>
          <w:rFonts w:hint="eastAsia" w:ascii="Times New Roman" w:hAnsi="Times New Roman" w:cs="Times New Roman"/>
        </w:rPr>
        <w:t>内部治理结构需要进一步调整优化，校</w:t>
      </w:r>
      <w:r>
        <w:rPr>
          <w:rFonts w:hint="eastAsia" w:ascii="Times New Roman" w:hAnsi="Times New Roman" w:cs="Times New Roman"/>
          <w:lang w:val="en-US" w:eastAsia="zh-CN"/>
        </w:rPr>
        <w:t>院</w:t>
      </w:r>
      <w:r>
        <w:rPr>
          <w:rFonts w:hint="eastAsia" w:ascii="Times New Roman" w:hAnsi="Times New Roman" w:cs="Times New Roman"/>
        </w:rPr>
        <w:t>二级管理体制改革</w:t>
      </w:r>
      <w:r>
        <w:rPr>
          <w:rFonts w:hint="eastAsia" w:ascii="Times New Roman" w:hAnsi="Times New Roman" w:cs="Times New Roman"/>
          <w:lang w:val="en-US" w:eastAsia="zh-CN"/>
        </w:rPr>
        <w:t>还需加强</w:t>
      </w:r>
      <w:r>
        <w:rPr>
          <w:rFonts w:hint="eastAsia" w:ascii="Times New Roman" w:hAnsi="Times New Roman" w:cs="Times New Roman"/>
        </w:rPr>
        <w:t>，基层单位活力</w:t>
      </w:r>
      <w:r>
        <w:rPr>
          <w:rFonts w:hint="eastAsia" w:ascii="Times New Roman" w:hAnsi="Times New Roman" w:cs="Times New Roman"/>
          <w:lang w:val="en-US" w:eastAsia="zh-CN"/>
        </w:rPr>
        <w:t>有待进一步增强；</w:t>
      </w:r>
    </w:p>
    <w:p w14:paraId="4F507470">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lang w:val="en-US" w:eastAsia="zh-CN"/>
        </w:rPr>
      </w:pPr>
      <w:r>
        <w:rPr>
          <w:rFonts w:hint="eastAsia" w:ascii="Times New Roman" w:hAnsi="Times New Roman" w:cs="Times New Roman"/>
        </w:rPr>
        <w:t>二是人才队伍建设水平还需提升。师资队伍结构</w:t>
      </w:r>
      <w:r>
        <w:rPr>
          <w:rFonts w:hint="eastAsia" w:ascii="Times New Roman" w:hAnsi="Times New Roman" w:cs="Times New Roman"/>
          <w:lang w:val="en-US" w:eastAsia="zh-CN"/>
        </w:rPr>
        <w:t>有待进一步改善</w:t>
      </w:r>
      <w:r>
        <w:rPr>
          <w:rFonts w:hint="eastAsia" w:ascii="Times New Roman" w:hAnsi="Times New Roman" w:cs="Times New Roman"/>
        </w:rPr>
        <w:t>，师资队伍高层次领军人才、高水平创新团队</w:t>
      </w:r>
      <w:r>
        <w:rPr>
          <w:rFonts w:hint="eastAsia" w:ascii="Times New Roman" w:hAnsi="Times New Roman" w:cs="Times New Roman"/>
          <w:lang w:val="en-US" w:eastAsia="zh-CN"/>
        </w:rPr>
        <w:t>和博士专家团队还需加大培养、引进力度；</w:t>
      </w:r>
    </w:p>
    <w:p w14:paraId="3427A141">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lang w:val="en-US" w:eastAsia="zh-CN"/>
        </w:rPr>
      </w:pPr>
      <w:r>
        <w:rPr>
          <w:rFonts w:hint="eastAsia" w:ascii="Times New Roman" w:hAnsi="Times New Roman" w:cs="Times New Roman"/>
        </w:rPr>
        <w:t>三是内涵建设力度仍需加</w:t>
      </w:r>
      <w:r>
        <w:rPr>
          <w:rFonts w:hint="eastAsia" w:ascii="Times New Roman" w:hAnsi="Times New Roman" w:cs="Times New Roman"/>
          <w:lang w:val="en-US" w:eastAsia="zh-CN"/>
        </w:rPr>
        <w:t>大</w:t>
      </w:r>
      <w:r>
        <w:rPr>
          <w:rFonts w:hint="eastAsia" w:ascii="Times New Roman" w:hAnsi="Times New Roman" w:cs="Times New Roman"/>
        </w:rPr>
        <w:t>。在国家级教学成果奖、创新教学团队、教学名师、</w:t>
      </w:r>
      <w:r>
        <w:rPr>
          <w:rFonts w:hint="eastAsia" w:ascii="Times New Roman" w:hAnsi="Times New Roman" w:cs="Times New Roman"/>
          <w:lang w:val="en-US" w:eastAsia="zh-CN"/>
        </w:rPr>
        <w:t>自治区</w:t>
      </w:r>
      <w:r>
        <w:rPr>
          <w:rFonts w:hint="eastAsia" w:ascii="Times New Roman" w:hAnsi="Times New Roman" w:cs="Times New Roman"/>
        </w:rPr>
        <w:t>级</w:t>
      </w:r>
      <w:r>
        <w:rPr>
          <w:rFonts w:hint="eastAsia" w:ascii="Times New Roman" w:hAnsi="Times New Roman" w:cs="Times New Roman"/>
          <w:lang w:eastAsia="zh-CN"/>
        </w:rPr>
        <w:t>教师</w:t>
      </w:r>
      <w:r>
        <w:rPr>
          <w:rFonts w:hint="eastAsia" w:ascii="Times New Roman" w:hAnsi="Times New Roman" w:cs="Times New Roman"/>
        </w:rPr>
        <w:t>教学团队等能够体现学</w:t>
      </w:r>
      <w:r>
        <w:rPr>
          <w:rFonts w:hint="eastAsia" w:ascii="Times New Roman" w:hAnsi="Times New Roman" w:cs="Times New Roman"/>
          <w:lang w:val="en-US" w:eastAsia="zh-CN"/>
        </w:rPr>
        <w:t>院</w:t>
      </w:r>
      <w:r>
        <w:rPr>
          <w:rFonts w:hint="eastAsia" w:ascii="Times New Roman" w:hAnsi="Times New Roman" w:cs="Times New Roman"/>
        </w:rPr>
        <w:t>综合实力和水平的项目上突破不足</w:t>
      </w:r>
      <w:r>
        <w:rPr>
          <w:rFonts w:hint="eastAsia" w:ascii="Times New Roman" w:hAnsi="Times New Roman" w:cs="Times New Roman"/>
          <w:lang w:val="en-US" w:eastAsia="zh-CN"/>
        </w:rPr>
        <w:t>；</w:t>
      </w:r>
    </w:p>
    <w:p w14:paraId="0B0E4980">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color w:val="FF0000"/>
          <w:lang w:val="en-US" w:eastAsia="zh-CN"/>
        </w:rPr>
      </w:pPr>
      <w:r>
        <w:rPr>
          <w:rFonts w:hint="eastAsia" w:ascii="Times New Roman" w:hAnsi="Times New Roman" w:cs="Times New Roman"/>
          <w:lang w:val="en-US" w:eastAsia="zh-CN"/>
        </w:rPr>
        <w:t>四是</w:t>
      </w:r>
      <w:r>
        <w:rPr>
          <w:rFonts w:hint="default" w:ascii="Times New Roman" w:hAnsi="Times New Roman" w:cs="Times New Roman"/>
        </w:rPr>
        <w:t>存在部分工作任务目标设置较低，实际完成情况较好的问题。存在该问题的原因为：1.年初设定目标时，未充分考虑客观因素和条件，仅参考上年完成情况及行业部门总体工作要求，未充分结合本</w:t>
      </w:r>
      <w:r>
        <w:rPr>
          <w:rFonts w:hint="eastAsia" w:ascii="Times New Roman" w:hAnsi="Times New Roman" w:cs="Times New Roman"/>
          <w:lang w:eastAsia="zh-CN"/>
        </w:rPr>
        <w:t>年</w:t>
      </w:r>
      <w:r>
        <w:rPr>
          <w:rFonts w:hint="default" w:ascii="Times New Roman" w:hAnsi="Times New Roman" w:cs="Times New Roman"/>
        </w:rPr>
        <w:t>单位实际。2.部分工作任务存在较大的不可预见性，导致工作任务与实际工作开展情况之间存在偏差。</w:t>
      </w:r>
    </w:p>
    <w:p w14:paraId="49DAC931">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rPr>
      </w:pPr>
      <w:bookmarkStart w:id="5" w:name="_Toc29546_WPSOffice_Level1"/>
      <w:r>
        <w:rPr>
          <w:rFonts w:hint="default" w:ascii="Times New Roman" w:hAnsi="Times New Roman" w:cs="Times New Roman"/>
          <w:lang w:val="en-US" w:eastAsia="zh-CN"/>
        </w:rPr>
        <w:t>六、</w:t>
      </w:r>
      <w:r>
        <w:rPr>
          <w:rFonts w:hint="default" w:ascii="Times New Roman" w:hAnsi="Times New Roman" w:cs="Times New Roman"/>
        </w:rPr>
        <w:t>改进措施和建议</w:t>
      </w:r>
      <w:bookmarkEnd w:id="5"/>
    </w:p>
    <w:p w14:paraId="17AD0F64">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default" w:ascii="Times New Roman" w:hAnsi="Times New Roman" w:cs="Times New Roman"/>
        </w:rPr>
        <w:t>1.高质量办学基础设施再突破，校园建设能力有效提升。对照编制《办学条件达标工程方案》，加快推进办学条件达标工程实施，补齐短板、对账销号，进一步扩展办学空间，完善图书馆、风雨操场、成人继续教育中心、大学生创新创业中心、综合实训楼等项目基础设施设备。按照自治区教育厅工作要求，积极争取地区支持，办理新校区一期、二期、三期建设项目不动产权证，力争办学条件各项指标顺利达标。</w:t>
      </w:r>
    </w:p>
    <w:p w14:paraId="622FEDDE">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深入推进三全育人，提升人才培养社会认可度。坚持德技并修的高素质技术技能人才培养导向，强化工匠精神、职业素养浸润式培养力度，创新思政育人载体，优化“五育并举”工作格局。立足职教本科加强生源分析，探索“一站式”学生社区综合管理模式，着力构建落实立德树人根本任务新生态新格局。完善辅导员考核与评价机制，深入推进辅导员（班主任）名师工作室建设；推进“岗课赛证”融合育人机制，力争在国家级大赛奖项上有所突破。深挖区域就业岗位需求，力促留疆率不低于95%、留阿率达到50%以上，为阿克苏经济社会发展做深人才“蓄水池”。</w:t>
      </w:r>
    </w:p>
    <w:p w14:paraId="4065EB87">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深入推进区域服务，提升技能型社会的贡献度。深化产教融合运行机制建设，整合各方资源，加快产教融合示范区一期项目建设，争取地区牵头支持申报产教融合示范城（区）项目，力争完成工信部“校企协同就业创业创新示范实践基地”项目建设。加强与比亚迪集团、翔宇航空、金宇航空等公司合作办学，力争共建现代产业学院2个，牵头或主要参与申报建设1个区域产教联合体，打造行业产教融合共同体和开放型区域产教融合实践中心1个。积极拓展培训渠道，扩大培训版图，持续强化培训公益属性，聚力纵向拓展自治区级、地区级等高精尖培训项目，逐步彰显阿职特色，形成服务全民终身学习的“阿职”样本。</w:t>
      </w:r>
    </w:p>
    <w:p w14:paraId="310CFEA6">
      <w:pPr>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w:t>
      </w:r>
      <w:r>
        <w:rPr>
          <w:rFonts w:hint="eastAsia" w:ascii="Times New Roman" w:hAnsi="Times New Roman" w:cs="Times New Roman"/>
          <w:lang w:eastAsia="zh-CN"/>
        </w:rPr>
        <w:t>优化绩效指标体系，</w:t>
      </w:r>
      <w:r>
        <w:rPr>
          <w:rFonts w:hint="default" w:ascii="Times New Roman" w:hAnsi="Times New Roman" w:cs="Times New Roman"/>
        </w:rPr>
        <w:t>来年设定目标时，充分考虑</w:t>
      </w:r>
      <w:r>
        <w:rPr>
          <w:rFonts w:hint="eastAsia" w:ascii="Times New Roman" w:hAnsi="Times New Roman" w:cs="Times New Roman"/>
          <w:lang w:eastAsia="zh-CN"/>
        </w:rPr>
        <w:t>单位战略目标和业务特点，</w:t>
      </w:r>
      <w:r>
        <w:rPr>
          <w:rFonts w:hint="default" w:ascii="Times New Roman" w:hAnsi="Times New Roman" w:cs="Times New Roman"/>
        </w:rPr>
        <w:t>结合相关工作上年完成情况及当年完成要求，</w:t>
      </w:r>
      <w:r>
        <w:rPr>
          <w:rFonts w:hint="eastAsia" w:ascii="Times New Roman" w:hAnsi="Times New Roman" w:cs="Times New Roman"/>
          <w:lang w:eastAsia="zh-CN"/>
        </w:rPr>
        <w:t>合理分配指标权重，确保突出重点。</w:t>
      </w:r>
      <w:r>
        <w:rPr>
          <w:rFonts w:hint="default" w:ascii="Times New Roman" w:hAnsi="Times New Roman" w:cs="Times New Roman"/>
        </w:rPr>
        <w:t>提高目标设定的科学性及准确性。</w:t>
      </w:r>
    </w:p>
    <w:p w14:paraId="5719578A">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lang w:eastAsia="zh-CN"/>
        </w:rPr>
      </w:pPr>
      <w:r>
        <w:rPr>
          <w:rFonts w:hint="eastAsia" w:ascii="Times New Roman" w:hAnsi="Times New Roman" w:cs="Times New Roman"/>
          <w:lang w:val="en-US" w:eastAsia="zh-CN"/>
        </w:rPr>
        <w:t>5</w:t>
      </w:r>
      <w:r>
        <w:rPr>
          <w:rFonts w:hint="default" w:ascii="Times New Roman" w:hAnsi="Times New Roman" w:cs="Times New Roman"/>
        </w:rPr>
        <w:t>.</w:t>
      </w:r>
      <w:r>
        <w:rPr>
          <w:rFonts w:hint="eastAsia" w:ascii="Times New Roman" w:hAnsi="Times New Roman" w:cs="Times New Roman"/>
          <w:lang w:eastAsia="zh-CN"/>
        </w:rPr>
        <w:t>加强数据管理，建立规范的数据收集、处理和存储流程，实施数据审核和验证机制，保证数据准确性和完整性。</w:t>
      </w:r>
    </w:p>
    <w:p w14:paraId="3635B825">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FF0000"/>
          <w:lang w:val="en-US" w:eastAsia="zh-CN"/>
        </w:rPr>
      </w:pPr>
      <w:r>
        <w:rPr>
          <w:rFonts w:hint="eastAsia" w:ascii="Times New Roman" w:hAnsi="Times New Roman" w:cs="Times New Roman"/>
          <w:lang w:val="en-US" w:eastAsia="zh-CN"/>
        </w:rPr>
        <w:t>6.强化结果应用，将绩效评价结果与奖惩机制挂钩，激励员工提高绩效，对低绩效部门制定具体的改进计划和措施，加强员工绩效评价相关的培训，提高其认识和技能。</w:t>
      </w:r>
    </w:p>
    <w:p w14:paraId="26742704">
      <w:pPr>
        <w:pStyle w:val="2"/>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七、附表</w:t>
      </w:r>
    </w:p>
    <w:p w14:paraId="22156E2F">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附件：《部门整体支出绩效自评表》。</w:t>
      </w:r>
    </w:p>
    <w:sectPr>
      <w:footerReference r:id="rId6"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8048C6-13E8-4D8D-84B3-4452B7895B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AAE0B11D-A213-47A5-A83F-EF911F34E1EA}"/>
  </w:font>
  <w:font w:name="楷体_GB2312">
    <w:panose1 w:val="02010609030101010101"/>
    <w:charset w:val="86"/>
    <w:family w:val="auto"/>
    <w:pitch w:val="default"/>
    <w:sig w:usb0="00000001" w:usb1="080E0000" w:usb2="00000000" w:usb3="00000000" w:csb0="00040000" w:csb1="00000000"/>
    <w:embedRegular r:id="rId3" w:fontKey="{BE7137A5-4948-4C0D-B133-8BC29714ACF2}"/>
  </w:font>
  <w:font w:name="方正小标宋简体">
    <w:panose1 w:val="03000509000000000000"/>
    <w:charset w:val="86"/>
    <w:family w:val="auto"/>
    <w:pitch w:val="default"/>
    <w:sig w:usb0="00000001" w:usb1="080E0000" w:usb2="00000000" w:usb3="00000000" w:csb0="00040000" w:csb1="00000000"/>
    <w:embedRegular r:id="rId4" w:fontKey="{D822624A-BDAE-41B2-9417-8722CC312A4C}"/>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AF549">
    <w:pPr>
      <w:pStyle w:val="10"/>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3CD1F">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5A86AD7">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4928D"/>
    <w:multiLevelType w:val="singleLevel"/>
    <w:tmpl w:val="9E54928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Y4NzA5ZTI4NTI5YjAwODhmMGVkYWE1ZWE2NjMifQ=="/>
    <w:docVar w:name="KSO_WPS_MARK_KEY" w:val="e89e5d35-c8b1-4830-abac-bd085844b888"/>
  </w:docVars>
  <w:rsids>
    <w:rsidRoot w:val="1C6D319F"/>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C717F"/>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012D"/>
    <w:rsid w:val="00D9126A"/>
    <w:rsid w:val="00D93262"/>
    <w:rsid w:val="00DB1085"/>
    <w:rsid w:val="00EB1FFE"/>
    <w:rsid w:val="00F326C7"/>
    <w:rsid w:val="00F84215"/>
    <w:rsid w:val="00FA2702"/>
    <w:rsid w:val="00FF2ACD"/>
    <w:rsid w:val="01172A03"/>
    <w:rsid w:val="012008EE"/>
    <w:rsid w:val="01941124"/>
    <w:rsid w:val="01CC583F"/>
    <w:rsid w:val="02F23728"/>
    <w:rsid w:val="04073203"/>
    <w:rsid w:val="04D964A5"/>
    <w:rsid w:val="04FF0482"/>
    <w:rsid w:val="05062887"/>
    <w:rsid w:val="05F70F85"/>
    <w:rsid w:val="062A142B"/>
    <w:rsid w:val="06336531"/>
    <w:rsid w:val="067A5F0E"/>
    <w:rsid w:val="072B19D6"/>
    <w:rsid w:val="079C6542"/>
    <w:rsid w:val="084208C4"/>
    <w:rsid w:val="08B80F70"/>
    <w:rsid w:val="096B7D90"/>
    <w:rsid w:val="09715072"/>
    <w:rsid w:val="098A3C0A"/>
    <w:rsid w:val="09ED4C49"/>
    <w:rsid w:val="0A6F38B0"/>
    <w:rsid w:val="0A9A7091"/>
    <w:rsid w:val="0B9F3D21"/>
    <w:rsid w:val="0C84204D"/>
    <w:rsid w:val="0CA830A9"/>
    <w:rsid w:val="0D811A48"/>
    <w:rsid w:val="0E6F0323"/>
    <w:rsid w:val="0E990EFC"/>
    <w:rsid w:val="0EDA6B97"/>
    <w:rsid w:val="0F900551"/>
    <w:rsid w:val="10300946"/>
    <w:rsid w:val="10FE60D7"/>
    <w:rsid w:val="10FF17E1"/>
    <w:rsid w:val="111725AC"/>
    <w:rsid w:val="117479FE"/>
    <w:rsid w:val="11A2733E"/>
    <w:rsid w:val="12387F5A"/>
    <w:rsid w:val="128123D2"/>
    <w:rsid w:val="13203999"/>
    <w:rsid w:val="15095AC8"/>
    <w:rsid w:val="15543DCE"/>
    <w:rsid w:val="15591446"/>
    <w:rsid w:val="15E109BB"/>
    <w:rsid w:val="175D58E3"/>
    <w:rsid w:val="18061B60"/>
    <w:rsid w:val="190C3DF8"/>
    <w:rsid w:val="197757AF"/>
    <w:rsid w:val="19AA4D08"/>
    <w:rsid w:val="19F83E30"/>
    <w:rsid w:val="1A361CF4"/>
    <w:rsid w:val="1ACE2BA8"/>
    <w:rsid w:val="1B403139"/>
    <w:rsid w:val="1BCD6688"/>
    <w:rsid w:val="1BCE10AF"/>
    <w:rsid w:val="1C012013"/>
    <w:rsid w:val="1C6D319F"/>
    <w:rsid w:val="1D0E51AB"/>
    <w:rsid w:val="1D3967F3"/>
    <w:rsid w:val="1D4D74D6"/>
    <w:rsid w:val="1DE32CFD"/>
    <w:rsid w:val="1E546BED"/>
    <w:rsid w:val="1F1A602A"/>
    <w:rsid w:val="1F2854B6"/>
    <w:rsid w:val="1F4B7FF0"/>
    <w:rsid w:val="1F664E2A"/>
    <w:rsid w:val="207D067D"/>
    <w:rsid w:val="20BB2F53"/>
    <w:rsid w:val="217421C1"/>
    <w:rsid w:val="21C768CD"/>
    <w:rsid w:val="21E32762"/>
    <w:rsid w:val="2265586D"/>
    <w:rsid w:val="22E14253"/>
    <w:rsid w:val="22F62969"/>
    <w:rsid w:val="23580F2E"/>
    <w:rsid w:val="23F209A3"/>
    <w:rsid w:val="2403516E"/>
    <w:rsid w:val="24D46CDA"/>
    <w:rsid w:val="256A2A9E"/>
    <w:rsid w:val="25B12B77"/>
    <w:rsid w:val="261753B8"/>
    <w:rsid w:val="261849A4"/>
    <w:rsid w:val="26DE174A"/>
    <w:rsid w:val="27647586"/>
    <w:rsid w:val="277361F6"/>
    <w:rsid w:val="27DF39CB"/>
    <w:rsid w:val="2805537E"/>
    <w:rsid w:val="289437EE"/>
    <w:rsid w:val="297873DB"/>
    <w:rsid w:val="2A285817"/>
    <w:rsid w:val="2AB4113F"/>
    <w:rsid w:val="2AC670C5"/>
    <w:rsid w:val="2AE61515"/>
    <w:rsid w:val="2AF07C9E"/>
    <w:rsid w:val="2E9F3EB4"/>
    <w:rsid w:val="2EBF757D"/>
    <w:rsid w:val="2ED6394D"/>
    <w:rsid w:val="2F1F5FCD"/>
    <w:rsid w:val="31AE39CE"/>
    <w:rsid w:val="31B83F5F"/>
    <w:rsid w:val="31B9528D"/>
    <w:rsid w:val="31CA1248"/>
    <w:rsid w:val="31EC235A"/>
    <w:rsid w:val="323D5381"/>
    <w:rsid w:val="328E2AB6"/>
    <w:rsid w:val="329B12EA"/>
    <w:rsid w:val="330C0FF8"/>
    <w:rsid w:val="33A83F87"/>
    <w:rsid w:val="33BE6B8B"/>
    <w:rsid w:val="345707EA"/>
    <w:rsid w:val="348222AE"/>
    <w:rsid w:val="348F1A9E"/>
    <w:rsid w:val="355C2B3F"/>
    <w:rsid w:val="35C80195"/>
    <w:rsid w:val="35F12468"/>
    <w:rsid w:val="35F54231"/>
    <w:rsid w:val="360B1E2F"/>
    <w:rsid w:val="362F5B1E"/>
    <w:rsid w:val="36401AD9"/>
    <w:rsid w:val="365E6403"/>
    <w:rsid w:val="36851B5C"/>
    <w:rsid w:val="36D91101"/>
    <w:rsid w:val="37CE1DAE"/>
    <w:rsid w:val="37D360CA"/>
    <w:rsid w:val="38CB5066"/>
    <w:rsid w:val="38F92413"/>
    <w:rsid w:val="39DD3AE3"/>
    <w:rsid w:val="3AC36A27"/>
    <w:rsid w:val="3B7346FF"/>
    <w:rsid w:val="3BC211E2"/>
    <w:rsid w:val="3BE253E0"/>
    <w:rsid w:val="3CE55188"/>
    <w:rsid w:val="3D006466"/>
    <w:rsid w:val="3D5347E8"/>
    <w:rsid w:val="3F147FA7"/>
    <w:rsid w:val="3F301058"/>
    <w:rsid w:val="3FBA74FF"/>
    <w:rsid w:val="3FE77469"/>
    <w:rsid w:val="40BE466E"/>
    <w:rsid w:val="40F736DC"/>
    <w:rsid w:val="41597EF3"/>
    <w:rsid w:val="417A34F9"/>
    <w:rsid w:val="418810F4"/>
    <w:rsid w:val="41A37673"/>
    <w:rsid w:val="41AA074E"/>
    <w:rsid w:val="41AF3FB7"/>
    <w:rsid w:val="42C30950"/>
    <w:rsid w:val="431F6F1A"/>
    <w:rsid w:val="4391606A"/>
    <w:rsid w:val="43CB5826"/>
    <w:rsid w:val="445D4AB6"/>
    <w:rsid w:val="44913E48"/>
    <w:rsid w:val="44FF34A7"/>
    <w:rsid w:val="457E617A"/>
    <w:rsid w:val="45A65C7F"/>
    <w:rsid w:val="46244F73"/>
    <w:rsid w:val="468C2A4A"/>
    <w:rsid w:val="46AD2493"/>
    <w:rsid w:val="46EC7F14"/>
    <w:rsid w:val="478832E0"/>
    <w:rsid w:val="48AF4C7F"/>
    <w:rsid w:val="4907292A"/>
    <w:rsid w:val="49097D64"/>
    <w:rsid w:val="49D767A1"/>
    <w:rsid w:val="4A81677A"/>
    <w:rsid w:val="4C8702C4"/>
    <w:rsid w:val="4D1B121D"/>
    <w:rsid w:val="4D5D05D3"/>
    <w:rsid w:val="4DA177B2"/>
    <w:rsid w:val="4DB13A87"/>
    <w:rsid w:val="4DEE47A1"/>
    <w:rsid w:val="4DF36D4F"/>
    <w:rsid w:val="4DF47921"/>
    <w:rsid w:val="500E557E"/>
    <w:rsid w:val="501B7C76"/>
    <w:rsid w:val="50446212"/>
    <w:rsid w:val="504D5CCF"/>
    <w:rsid w:val="50577CF3"/>
    <w:rsid w:val="50F96FFC"/>
    <w:rsid w:val="51791EEB"/>
    <w:rsid w:val="519A433C"/>
    <w:rsid w:val="51A96C75"/>
    <w:rsid w:val="51F003FF"/>
    <w:rsid w:val="5268268C"/>
    <w:rsid w:val="52AA6800"/>
    <w:rsid w:val="533A7469"/>
    <w:rsid w:val="53526129"/>
    <w:rsid w:val="535A6478"/>
    <w:rsid w:val="537F5EDF"/>
    <w:rsid w:val="558D3D5D"/>
    <w:rsid w:val="565F61A9"/>
    <w:rsid w:val="56FA762A"/>
    <w:rsid w:val="57232FC4"/>
    <w:rsid w:val="572D2326"/>
    <w:rsid w:val="57365691"/>
    <w:rsid w:val="587005A3"/>
    <w:rsid w:val="58B008E9"/>
    <w:rsid w:val="58FA6008"/>
    <w:rsid w:val="594352B9"/>
    <w:rsid w:val="59EE1E48"/>
    <w:rsid w:val="5A0F163F"/>
    <w:rsid w:val="5A490F5C"/>
    <w:rsid w:val="5A89319F"/>
    <w:rsid w:val="5B805E16"/>
    <w:rsid w:val="5BD21464"/>
    <w:rsid w:val="5BDE2B83"/>
    <w:rsid w:val="5C5B500F"/>
    <w:rsid w:val="5C6E6AF1"/>
    <w:rsid w:val="5C777282"/>
    <w:rsid w:val="5D6B3030"/>
    <w:rsid w:val="5DAF116F"/>
    <w:rsid w:val="5DF50B4C"/>
    <w:rsid w:val="5E5259CF"/>
    <w:rsid w:val="5E5F032D"/>
    <w:rsid w:val="5FA87FC8"/>
    <w:rsid w:val="604A33D1"/>
    <w:rsid w:val="607406EC"/>
    <w:rsid w:val="60D31618"/>
    <w:rsid w:val="615A7643"/>
    <w:rsid w:val="61635F72"/>
    <w:rsid w:val="618606C5"/>
    <w:rsid w:val="62B35852"/>
    <w:rsid w:val="62BB2331"/>
    <w:rsid w:val="631877B6"/>
    <w:rsid w:val="63872C9D"/>
    <w:rsid w:val="63E114D3"/>
    <w:rsid w:val="66EF3C8C"/>
    <w:rsid w:val="67725D96"/>
    <w:rsid w:val="677E3350"/>
    <w:rsid w:val="682602E1"/>
    <w:rsid w:val="682664D1"/>
    <w:rsid w:val="68594AF9"/>
    <w:rsid w:val="69AC2A06"/>
    <w:rsid w:val="6A1F142A"/>
    <w:rsid w:val="6A354371"/>
    <w:rsid w:val="6A470981"/>
    <w:rsid w:val="6AD46D46"/>
    <w:rsid w:val="6D884FF9"/>
    <w:rsid w:val="6DDF784E"/>
    <w:rsid w:val="6DE07909"/>
    <w:rsid w:val="6DFD1A82"/>
    <w:rsid w:val="6E3B25AB"/>
    <w:rsid w:val="6E58438A"/>
    <w:rsid w:val="6E9D5508"/>
    <w:rsid w:val="6F8166E3"/>
    <w:rsid w:val="6F871359"/>
    <w:rsid w:val="6FA029C6"/>
    <w:rsid w:val="70294190"/>
    <w:rsid w:val="7063785D"/>
    <w:rsid w:val="71724AB3"/>
    <w:rsid w:val="71EB22B3"/>
    <w:rsid w:val="72010FA6"/>
    <w:rsid w:val="72CC236B"/>
    <w:rsid w:val="72E90827"/>
    <w:rsid w:val="748A4F72"/>
    <w:rsid w:val="748A7DE8"/>
    <w:rsid w:val="74961819"/>
    <w:rsid w:val="74B310ED"/>
    <w:rsid w:val="74E92D60"/>
    <w:rsid w:val="75173CDC"/>
    <w:rsid w:val="75210DC6"/>
    <w:rsid w:val="75664078"/>
    <w:rsid w:val="75713FE8"/>
    <w:rsid w:val="761E4132"/>
    <w:rsid w:val="762C2A8C"/>
    <w:rsid w:val="766D176F"/>
    <w:rsid w:val="78061A79"/>
    <w:rsid w:val="789C633C"/>
    <w:rsid w:val="78AC6800"/>
    <w:rsid w:val="79181486"/>
    <w:rsid w:val="7A7E3F4B"/>
    <w:rsid w:val="7AEF309B"/>
    <w:rsid w:val="7AFD1314"/>
    <w:rsid w:val="7BC003CA"/>
    <w:rsid w:val="7C046EDD"/>
    <w:rsid w:val="7CBF4BB4"/>
    <w:rsid w:val="7CE02C9B"/>
    <w:rsid w:val="7E5D346D"/>
    <w:rsid w:val="7EC503B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560" w:lineRule="exact"/>
      <w:ind w:firstLine="640" w:firstLineChars="200"/>
      <w:jc w:val="both"/>
    </w:pPr>
    <w:rPr>
      <w:rFonts w:ascii="仿宋_GB2312" w:hAnsi="仿宋_GB2312" w:eastAsia="仿宋_GB2312" w:cs="仿宋_GB2312"/>
      <w:kern w:val="2"/>
      <w:sz w:val="32"/>
      <w:szCs w:val="24"/>
      <w:lang w:val="en-US" w:eastAsia="zh-CN" w:bidi="ar-SA"/>
    </w:rPr>
  </w:style>
  <w:style w:type="paragraph" w:styleId="2">
    <w:name w:val="heading 1"/>
    <w:basedOn w:val="1"/>
    <w:next w:val="1"/>
    <w:autoRedefine/>
    <w:qFormat/>
    <w:uiPriority w:val="0"/>
    <w:pPr>
      <w:keepNext/>
      <w:keepLines/>
      <w:jc w:val="left"/>
      <w:outlineLvl w:val="0"/>
    </w:pPr>
    <w:rPr>
      <w:rFonts w:ascii="宋体" w:hAnsi="宋体" w:eastAsia="黑体"/>
      <w:bCs/>
      <w:kern w:val="44"/>
      <w:sz w:val="32"/>
      <w:szCs w:val="44"/>
    </w:rPr>
  </w:style>
  <w:style w:type="paragraph" w:styleId="3">
    <w:name w:val="heading 2"/>
    <w:basedOn w:val="1"/>
    <w:next w:val="1"/>
    <w:autoRedefine/>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autoRedefine/>
    <w:unhideWhenUsed/>
    <w:qFormat/>
    <w:uiPriority w:val="9"/>
    <w:pPr>
      <w:keepNext/>
      <w:keepLines/>
      <w:spacing w:before="140" w:line="360" w:lineRule="auto"/>
      <w:outlineLvl w:val="2"/>
    </w:pPr>
    <w:rPr>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9">
    <w:name w:val="Default Paragraph Font"/>
    <w:autoRedefine/>
    <w:unhideWhenUsed/>
    <w:qFormat/>
    <w:uiPriority w:val="1"/>
  </w:style>
  <w:style w:type="table" w:default="1" w:styleId="17">
    <w:name w:val="Normal Table"/>
    <w:autoRedefine/>
    <w:unhideWhenUsed/>
    <w:qFormat/>
    <w:uiPriority w:val="99"/>
    <w:tblPr>
      <w:tblCellMar>
        <w:top w:w="0" w:type="dxa"/>
        <w:left w:w="108" w:type="dxa"/>
        <w:bottom w:w="0" w:type="dxa"/>
        <w:right w:w="108" w:type="dxa"/>
      </w:tblCellMar>
    </w:tblPr>
  </w:style>
  <w:style w:type="paragraph" w:styleId="6">
    <w:name w:val="Normal Indent"/>
    <w:basedOn w:val="1"/>
    <w:next w:val="7"/>
    <w:autoRedefine/>
    <w:qFormat/>
    <w:uiPriority w:val="0"/>
    <w:pPr>
      <w:ind w:firstLine="420"/>
    </w:pPr>
    <w:rPr>
      <w:sz w:val="21"/>
    </w:rPr>
  </w:style>
  <w:style w:type="paragraph" w:styleId="7">
    <w:name w:val="toc 4"/>
    <w:basedOn w:val="1"/>
    <w:next w:val="1"/>
    <w:autoRedefine/>
    <w:qFormat/>
    <w:uiPriority w:val="0"/>
    <w:pPr>
      <w:ind w:left="1260" w:leftChars="600"/>
    </w:pPr>
  </w:style>
  <w:style w:type="paragraph" w:styleId="8">
    <w:name w:val="annotation text"/>
    <w:basedOn w:val="1"/>
    <w:autoRedefine/>
    <w:unhideWhenUsed/>
    <w:qFormat/>
    <w:uiPriority w:val="99"/>
    <w:pPr>
      <w:jc w:val="left"/>
    </w:pPr>
  </w:style>
  <w:style w:type="paragraph" w:styleId="9">
    <w:name w:val="Body Text"/>
    <w:basedOn w:val="1"/>
    <w:autoRedefine/>
    <w:qFormat/>
    <w:uiPriority w:val="0"/>
    <w:pPr>
      <w:spacing w:before="240" w:after="240" w:line="360" w:lineRule="auto"/>
      <w:jc w:val="center"/>
    </w:pPr>
    <w:rPr>
      <w:b/>
      <w:sz w:val="44"/>
    </w:rPr>
  </w:style>
  <w:style w:type="paragraph" w:styleId="10">
    <w:name w:val="footer"/>
    <w:basedOn w:val="1"/>
    <w:link w:val="23"/>
    <w:autoRedefine/>
    <w:unhideWhenUsed/>
    <w:qFormat/>
    <w:uiPriority w:val="99"/>
    <w:pPr>
      <w:tabs>
        <w:tab w:val="center" w:pos="4153"/>
        <w:tab w:val="right" w:pos="8306"/>
      </w:tabs>
      <w:snapToGrid w:val="0"/>
      <w:jc w:val="left"/>
    </w:pPr>
    <w:rPr>
      <w:sz w:val="18"/>
      <w:szCs w:val="18"/>
    </w:rPr>
  </w:style>
  <w:style w:type="paragraph" w:styleId="11">
    <w:name w:val="header"/>
    <w:basedOn w:val="1"/>
    <w:link w:val="2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autoRedefine/>
    <w:qFormat/>
    <w:uiPriority w:val="0"/>
    <w:pPr>
      <w:snapToGrid w:val="0"/>
      <w:jc w:val="left"/>
    </w:pPr>
    <w:rPr>
      <w:rFonts w:hint="eastAsia"/>
      <w:sz w:val="18"/>
    </w:rPr>
  </w:style>
  <w:style w:type="paragraph" w:customStyle="1" w:styleId="13">
    <w:name w:val="正文文本首行缩进 21"/>
    <w:basedOn w:val="14"/>
    <w:autoRedefine/>
    <w:qFormat/>
    <w:uiPriority w:val="0"/>
    <w:pPr>
      <w:ind w:firstLine="420" w:firstLineChars="200"/>
    </w:pPr>
  </w:style>
  <w:style w:type="paragraph" w:customStyle="1" w:styleId="14">
    <w:name w:val="正文文本缩进1"/>
    <w:basedOn w:val="1"/>
    <w:next w:val="15"/>
    <w:autoRedefine/>
    <w:qFormat/>
    <w:uiPriority w:val="0"/>
    <w:pPr>
      <w:spacing w:line="574" w:lineRule="exact"/>
      <w:ind w:left="400" w:hanging="400" w:hangingChars="400"/>
    </w:pPr>
    <w:rPr>
      <w:rFonts w:eastAsia="仿宋_GB2312"/>
      <w:sz w:val="32"/>
      <w:szCs w:val="32"/>
    </w:rPr>
  </w:style>
  <w:style w:type="paragraph" w:customStyle="1" w:styleId="15">
    <w:name w:val="正文缩进1"/>
    <w:basedOn w:val="1"/>
    <w:autoRedefine/>
    <w:qFormat/>
    <w:uiPriority w:val="0"/>
    <w:pPr>
      <w:ind w:firstLine="420"/>
    </w:pPr>
    <w:rPr>
      <w:sz w:val="32"/>
    </w:rPr>
  </w:style>
  <w:style w:type="paragraph" w:styleId="16">
    <w:name w:val="Normal (Web)"/>
    <w:basedOn w:val="1"/>
    <w:autoRedefine/>
    <w:qFormat/>
    <w:uiPriority w:val="99"/>
    <w:pPr>
      <w:spacing w:before="100" w:beforeAutospacing="1" w:after="100" w:afterAutospacing="1"/>
      <w:jc w:val="left"/>
    </w:pPr>
    <w:rPr>
      <w:sz w:val="24"/>
      <w:lang w:bidi="ar"/>
    </w:rPr>
  </w:style>
  <w:style w:type="table" w:styleId="18">
    <w:name w:val="Table Grid"/>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autoRedefine/>
    <w:qFormat/>
    <w:uiPriority w:val="0"/>
    <w:rPr>
      <w:b/>
      <w:bCs/>
    </w:rPr>
  </w:style>
  <w:style w:type="character" w:styleId="21">
    <w:name w:val="Hyperlink"/>
    <w:basedOn w:val="19"/>
    <w:autoRedefine/>
    <w:qFormat/>
    <w:uiPriority w:val="0"/>
    <w:rPr>
      <w:color w:val="5B677D"/>
      <w:u w:val="none"/>
    </w:rPr>
  </w:style>
  <w:style w:type="paragraph" w:customStyle="1" w:styleId="22">
    <w:name w:val="List Paragraph"/>
    <w:basedOn w:val="1"/>
    <w:autoRedefine/>
    <w:unhideWhenUsed/>
    <w:qFormat/>
    <w:uiPriority w:val="99"/>
    <w:pPr>
      <w:ind w:firstLine="420" w:firstLineChars="200"/>
    </w:pPr>
  </w:style>
  <w:style w:type="character" w:customStyle="1" w:styleId="23">
    <w:name w:val="页脚 字符"/>
    <w:basedOn w:val="19"/>
    <w:link w:val="10"/>
    <w:autoRedefine/>
    <w:qFormat/>
    <w:uiPriority w:val="99"/>
    <w:rPr>
      <w:sz w:val="18"/>
      <w:szCs w:val="18"/>
    </w:rPr>
  </w:style>
  <w:style w:type="character" w:customStyle="1" w:styleId="24">
    <w:name w:val="页眉 字符"/>
    <w:basedOn w:val="19"/>
    <w:link w:val="11"/>
    <w:autoRedefine/>
    <w:qFormat/>
    <w:uiPriority w:val="99"/>
    <w:rPr>
      <w:sz w:val="18"/>
      <w:szCs w:val="18"/>
    </w:rPr>
  </w:style>
  <w:style w:type="paragraph" w:customStyle="1" w:styleId="25">
    <w:name w:val="WPSOffice手动目录 1"/>
    <w:autoRedefine/>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32</Pages>
  <Words>15766</Words>
  <Characters>17459</Characters>
  <Lines>7</Lines>
  <Paragraphs>2</Paragraphs>
  <TotalTime>1</TotalTime>
  <ScaleCrop>false</ScaleCrop>
  <LinksUpToDate>false</LinksUpToDate>
  <CharactersWithSpaces>17460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、敷衍</cp:lastModifiedBy>
  <dcterms:modified xsi:type="dcterms:W3CDTF">2025-04-27T10:14:31Z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B23B89CFDFDF4A2F929D8285E85B6EB2_13</vt:lpwstr>
  </property>
  <property fmtid="{D5CDD505-2E9C-101B-9397-08002B2CF9AE}" pid="4" name="KSOTemplateDocerSaveRecord">
    <vt:lpwstr>eyJoZGlkIjoiN2YzNjBkOTgyNWQ1YTMxYzM3MzMwNWFiODNmOWIzYWMiLCJ1c2VySWQiOiI1NTAzMzY4OTEifQ==</vt:lpwstr>
  </property>
</Properties>
</file>